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84A" w:rsidRDefault="00991792">
      <w:pPr>
        <w:pStyle w:val="Textbody"/>
        <w:spacing w:after="120" w:line="460" w:lineRule="exact"/>
        <w:ind w:right="-164"/>
        <w:rPr>
          <w:rFonts w:ascii="標楷體" w:eastAsia="標楷體" w:hAnsi="標楷體" w:cs="新細明體"/>
          <w:color w:val="000000"/>
          <w:sz w:val="40"/>
          <w:szCs w:val="28"/>
        </w:rPr>
      </w:pPr>
      <w:bookmarkStart w:id="0" w:name="_GoBack"/>
      <w:r>
        <w:rPr>
          <w:rFonts w:ascii="標楷體" w:eastAsia="標楷體" w:hAnsi="標楷體" w:cs="新細明體"/>
          <w:color w:val="000000"/>
          <w:sz w:val="40"/>
          <w:szCs w:val="28"/>
        </w:rPr>
        <w:t>勞工職業災害保險預防職業病健康檢查及健康追蹤檢查辦法</w:t>
      </w:r>
      <w:bookmarkEnd w:id="0"/>
    </w:p>
    <w:p w:rsidR="0070684A" w:rsidRDefault="00991792">
      <w:pPr>
        <w:pStyle w:val="Textbody"/>
        <w:widowControl/>
        <w:shd w:val="clear" w:color="auto" w:fill="FFFFFF"/>
        <w:spacing w:line="460" w:lineRule="exact"/>
        <w:ind w:left="851" w:hanging="851"/>
        <w:rPr>
          <w:rFonts w:ascii="標楷體" w:eastAsia="標楷體" w:hAnsi="標楷體" w:cs="BiauKai"/>
          <w:color w:val="000000"/>
          <w:sz w:val="28"/>
          <w:szCs w:val="28"/>
        </w:rPr>
      </w:pPr>
      <w:r>
        <w:rPr>
          <w:rFonts w:ascii="標楷體" w:eastAsia="標楷體" w:hAnsi="標楷體" w:cs="BiauKai"/>
          <w:color w:val="000000"/>
          <w:sz w:val="28"/>
          <w:szCs w:val="28"/>
        </w:rPr>
        <w:t>第一條</w:t>
      </w:r>
      <w:r>
        <w:rPr>
          <w:rFonts w:ascii="標楷體" w:eastAsia="標楷體" w:hAnsi="標楷體" w:cs="BiauKai"/>
          <w:color w:val="000000"/>
          <w:sz w:val="28"/>
          <w:szCs w:val="28"/>
        </w:rPr>
        <w:t xml:space="preserve">    </w:t>
      </w:r>
      <w:r>
        <w:rPr>
          <w:rFonts w:ascii="標楷體" w:eastAsia="標楷體" w:hAnsi="標楷體" w:cs="BiauKai"/>
          <w:color w:val="000000"/>
          <w:sz w:val="28"/>
          <w:szCs w:val="28"/>
        </w:rPr>
        <w:t>本辦法依勞工職業災害保險及保護法（以下簡稱本法）第六十三條第四項規定訂定之。</w:t>
      </w:r>
    </w:p>
    <w:p w:rsidR="0070684A" w:rsidRDefault="00991792">
      <w:pPr>
        <w:pStyle w:val="Textbody"/>
        <w:widowControl/>
        <w:shd w:val="clear" w:color="auto" w:fill="FFFFFF"/>
        <w:spacing w:line="460" w:lineRule="exact"/>
        <w:ind w:left="851" w:hanging="851"/>
        <w:rPr>
          <w:rFonts w:ascii="標楷體" w:eastAsia="標楷體" w:hAnsi="標楷體" w:cs="BiauKai"/>
          <w:color w:val="000000"/>
          <w:sz w:val="28"/>
          <w:szCs w:val="28"/>
        </w:rPr>
      </w:pPr>
      <w:r>
        <w:rPr>
          <w:rFonts w:ascii="標楷體" w:eastAsia="標楷體" w:hAnsi="標楷體" w:cs="BiauKai"/>
          <w:color w:val="000000"/>
          <w:sz w:val="28"/>
          <w:szCs w:val="28"/>
        </w:rPr>
        <w:t>第二條</w:t>
      </w:r>
      <w:r>
        <w:rPr>
          <w:rFonts w:ascii="標楷體" w:eastAsia="標楷體" w:hAnsi="標楷體" w:cs="BiauKai"/>
          <w:color w:val="000000"/>
          <w:sz w:val="28"/>
          <w:szCs w:val="28"/>
        </w:rPr>
        <w:t xml:space="preserve">    </w:t>
      </w:r>
      <w:r>
        <w:rPr>
          <w:rFonts w:ascii="標楷體" w:eastAsia="標楷體" w:hAnsi="標楷體" w:cs="BiauKai"/>
          <w:color w:val="000000"/>
          <w:sz w:val="28"/>
          <w:szCs w:val="28"/>
        </w:rPr>
        <w:t>依本法六十三條第一項得申請預防職業病健康檢查之有害作業，如附表</w:t>
      </w:r>
      <w:proofErr w:type="gramStart"/>
      <w:r>
        <w:rPr>
          <w:rFonts w:ascii="標楷體" w:eastAsia="標楷體" w:hAnsi="標楷體" w:cs="BiauKai"/>
          <w:color w:val="000000"/>
          <w:sz w:val="28"/>
          <w:szCs w:val="28"/>
        </w:rPr>
        <w:t>一</w:t>
      </w:r>
      <w:proofErr w:type="gramEnd"/>
      <w:r>
        <w:rPr>
          <w:rFonts w:ascii="標楷體" w:eastAsia="標楷體" w:hAnsi="標楷體" w:cs="BiauKai"/>
          <w:color w:val="000000"/>
          <w:sz w:val="28"/>
          <w:szCs w:val="28"/>
        </w:rPr>
        <w:t>。</w:t>
      </w:r>
    </w:p>
    <w:p w:rsidR="0070684A" w:rsidRDefault="00991792">
      <w:pPr>
        <w:pStyle w:val="Textbody"/>
        <w:widowControl/>
        <w:shd w:val="clear" w:color="auto" w:fill="FFFFFF"/>
        <w:spacing w:line="460" w:lineRule="exact"/>
        <w:ind w:left="851" w:firstLine="567"/>
        <w:rPr>
          <w:rFonts w:ascii="標楷體" w:eastAsia="標楷體" w:hAnsi="標楷體" w:cs="BiauKai"/>
          <w:color w:val="000000"/>
          <w:sz w:val="28"/>
          <w:szCs w:val="28"/>
        </w:rPr>
      </w:pPr>
      <w:r>
        <w:rPr>
          <w:rFonts w:ascii="標楷體" w:eastAsia="標楷體" w:hAnsi="標楷體" w:cs="BiauKai"/>
          <w:color w:val="000000"/>
          <w:sz w:val="28"/>
          <w:szCs w:val="28"/>
        </w:rPr>
        <w:t>依本法六十三條第二項得申請預防職業病健康追蹤檢查之有害作業，如附表二。</w:t>
      </w:r>
    </w:p>
    <w:p w:rsidR="0070684A" w:rsidRDefault="00991792">
      <w:pPr>
        <w:pStyle w:val="Textbody"/>
        <w:widowControl/>
        <w:shd w:val="clear" w:color="auto" w:fill="FFFFFF"/>
        <w:spacing w:line="460" w:lineRule="exact"/>
        <w:ind w:left="851" w:firstLine="567"/>
        <w:rPr>
          <w:rFonts w:ascii="標楷體" w:eastAsia="標楷體" w:hAnsi="標楷體" w:cs="BiauKai"/>
          <w:color w:val="000000"/>
          <w:sz w:val="28"/>
          <w:szCs w:val="28"/>
        </w:rPr>
      </w:pPr>
      <w:r>
        <w:rPr>
          <w:rFonts w:ascii="標楷體" w:eastAsia="標楷體" w:hAnsi="標楷體" w:cs="BiauKai"/>
          <w:color w:val="000000"/>
          <w:sz w:val="28"/>
          <w:szCs w:val="28"/>
        </w:rPr>
        <w:t>前二項預防職業病健康檢查或健康追蹤檢查之項目，依勞工健康保護規則規定之項目辦理，中央主管機關並得視實際需要公告之。</w:t>
      </w:r>
    </w:p>
    <w:p w:rsidR="0070684A" w:rsidRDefault="00991792">
      <w:pPr>
        <w:pStyle w:val="Default"/>
        <w:spacing w:line="460" w:lineRule="exact"/>
        <w:ind w:left="851" w:hanging="851"/>
        <w:rPr>
          <w:rFonts w:cs="BiauKai"/>
          <w:sz w:val="28"/>
          <w:szCs w:val="28"/>
        </w:rPr>
      </w:pPr>
      <w:r>
        <w:rPr>
          <w:rFonts w:cs="BiauKai"/>
          <w:sz w:val="28"/>
          <w:szCs w:val="28"/>
        </w:rPr>
        <w:t>第三條</w:t>
      </w:r>
      <w:r>
        <w:rPr>
          <w:rFonts w:cs="BiauKai"/>
          <w:sz w:val="28"/>
          <w:szCs w:val="28"/>
        </w:rPr>
        <w:t xml:space="preserve">    </w:t>
      </w:r>
      <w:r>
        <w:rPr>
          <w:rFonts w:cs="BiauKai"/>
          <w:sz w:val="28"/>
          <w:szCs w:val="28"/>
        </w:rPr>
        <w:t>被保險人從事前條第一項規定之作業，其最近加保年資連續滿一年者，得由投保單位向保險人申請預防職業病健康檢查；投保單位未依規定申請者，被保險人得</w:t>
      </w:r>
      <w:proofErr w:type="gramStart"/>
      <w:r>
        <w:rPr>
          <w:rFonts w:cs="BiauKai"/>
          <w:sz w:val="28"/>
          <w:szCs w:val="28"/>
        </w:rPr>
        <w:t>逕</w:t>
      </w:r>
      <w:proofErr w:type="gramEnd"/>
      <w:r>
        <w:rPr>
          <w:rFonts w:cs="BiauKai"/>
          <w:sz w:val="28"/>
          <w:szCs w:val="28"/>
        </w:rPr>
        <w:t>向保險人申請。</w:t>
      </w:r>
    </w:p>
    <w:p w:rsidR="0070684A" w:rsidRDefault="00991792">
      <w:pPr>
        <w:pStyle w:val="a6"/>
        <w:tabs>
          <w:tab w:val="left" w:pos="1276"/>
        </w:tabs>
        <w:spacing w:line="460" w:lineRule="exact"/>
        <w:ind w:left="851" w:hanging="851"/>
        <w:rPr>
          <w:rFonts w:ascii="標楷體" w:eastAsia="標楷體" w:hAnsi="標楷體" w:cs="BiauKai"/>
          <w:color w:val="000000"/>
          <w:sz w:val="28"/>
          <w:szCs w:val="28"/>
        </w:rPr>
      </w:pPr>
      <w:r>
        <w:rPr>
          <w:rFonts w:ascii="標楷體" w:eastAsia="標楷體" w:hAnsi="標楷體" w:cs="BiauKai"/>
          <w:color w:val="000000"/>
          <w:sz w:val="28"/>
          <w:szCs w:val="28"/>
        </w:rPr>
        <w:t>第四條</w:t>
      </w:r>
      <w:r>
        <w:rPr>
          <w:rFonts w:ascii="標楷體" w:eastAsia="標楷體" w:hAnsi="標楷體" w:cs="BiauKai"/>
          <w:color w:val="000000"/>
          <w:sz w:val="28"/>
          <w:szCs w:val="28"/>
        </w:rPr>
        <w:t xml:space="preserve">    </w:t>
      </w:r>
      <w:r>
        <w:rPr>
          <w:rFonts w:ascii="標楷體" w:eastAsia="標楷體" w:hAnsi="標楷體" w:cs="BiauKai"/>
          <w:color w:val="000000"/>
          <w:sz w:val="28"/>
          <w:szCs w:val="28"/>
        </w:rPr>
        <w:t>勞工曾從事第二條第二項規定之作業，且加保期間年資連續滿一年者，其於變更作業、離職或退保後，得由投保單位或勞工本人向保險人申請預防職業病健康追蹤檢查。</w:t>
      </w:r>
    </w:p>
    <w:p w:rsidR="0070684A" w:rsidRDefault="00991792">
      <w:pPr>
        <w:pStyle w:val="a6"/>
        <w:tabs>
          <w:tab w:val="left" w:pos="1276"/>
        </w:tabs>
        <w:spacing w:line="460" w:lineRule="exact"/>
        <w:ind w:left="851" w:firstLine="567"/>
      </w:pPr>
      <w:r>
        <w:rPr>
          <w:rFonts w:ascii="標楷體" w:eastAsia="標楷體" w:hAnsi="標楷體" w:cs="BiauKai"/>
          <w:color w:val="000000"/>
          <w:sz w:val="28"/>
          <w:szCs w:val="28"/>
        </w:rPr>
        <w:t>前項申請，經保險人審查認有資格疑義，得請申請人至本法第七十三</w:t>
      </w:r>
      <w:r>
        <w:rPr>
          <w:rFonts w:ascii="標楷體" w:eastAsia="標楷體" w:hAnsi="標楷體" w:cs="BiauKai"/>
          <w:color w:val="000000"/>
          <w:sz w:val="28"/>
          <w:szCs w:val="28"/>
        </w:rPr>
        <w:t>條規定認可之醫療機構，由職業醫學科專科醫師協助評估之。</w:t>
      </w:r>
    </w:p>
    <w:p w:rsidR="0070684A" w:rsidRDefault="00991792">
      <w:pPr>
        <w:pStyle w:val="Default"/>
        <w:spacing w:line="460" w:lineRule="exact"/>
        <w:ind w:left="851" w:hanging="851"/>
        <w:rPr>
          <w:rFonts w:cs="BiauKai"/>
          <w:sz w:val="28"/>
          <w:szCs w:val="28"/>
        </w:rPr>
      </w:pPr>
      <w:r>
        <w:rPr>
          <w:rFonts w:cs="BiauKai"/>
          <w:sz w:val="28"/>
          <w:szCs w:val="28"/>
        </w:rPr>
        <w:t>第五條</w:t>
      </w:r>
      <w:r>
        <w:rPr>
          <w:rFonts w:cs="BiauKai"/>
          <w:sz w:val="28"/>
          <w:szCs w:val="28"/>
        </w:rPr>
        <w:t xml:space="preserve">    </w:t>
      </w:r>
      <w:r>
        <w:rPr>
          <w:rFonts w:cs="BiauKai"/>
          <w:sz w:val="28"/>
          <w:szCs w:val="28"/>
        </w:rPr>
        <w:t>前二條預防職業病健康檢查及健康追蹤檢查，一年以一次為限。但情形特殊，經中央主管機關認有必要者，得另行公告其檢查及追蹤檢查頻率。</w:t>
      </w:r>
    </w:p>
    <w:p w:rsidR="0070684A" w:rsidRDefault="00991792">
      <w:pPr>
        <w:pStyle w:val="Default"/>
        <w:spacing w:line="460" w:lineRule="exact"/>
        <w:ind w:left="851" w:hanging="851"/>
        <w:rPr>
          <w:rFonts w:cs="BiauKai"/>
          <w:sz w:val="28"/>
          <w:szCs w:val="28"/>
        </w:rPr>
      </w:pPr>
      <w:r>
        <w:rPr>
          <w:rFonts w:cs="BiauKai"/>
          <w:sz w:val="28"/>
          <w:szCs w:val="28"/>
        </w:rPr>
        <w:t>第六條</w:t>
      </w:r>
      <w:r>
        <w:rPr>
          <w:rFonts w:cs="BiauKai"/>
          <w:sz w:val="28"/>
          <w:szCs w:val="28"/>
        </w:rPr>
        <w:t xml:space="preserve">    </w:t>
      </w:r>
      <w:r>
        <w:rPr>
          <w:rFonts w:cs="BiauKai"/>
          <w:sz w:val="28"/>
          <w:szCs w:val="28"/>
        </w:rPr>
        <w:t>符合第三條或第四條資格者，應填具申請書，並檢附相關文件向保險人提出。經保險人審查符合規定者，應通知申請人，並核發預防職業病健康檢查或健康追蹤檢查證明單，申請人應於規定時間內受檢。</w:t>
      </w:r>
    </w:p>
    <w:p w:rsidR="0070684A" w:rsidRDefault="00991792">
      <w:pPr>
        <w:pStyle w:val="Default"/>
        <w:spacing w:line="460" w:lineRule="exact"/>
        <w:ind w:left="851" w:firstLine="567"/>
        <w:rPr>
          <w:rFonts w:cs="BiauKai"/>
          <w:sz w:val="28"/>
          <w:szCs w:val="28"/>
        </w:rPr>
      </w:pPr>
      <w:r>
        <w:rPr>
          <w:rFonts w:cs="BiauKai"/>
          <w:sz w:val="28"/>
          <w:szCs w:val="28"/>
        </w:rPr>
        <w:t>前項申請書件及證明單格式，除依職業安全衛生法令規定者外，由保險人另定之。</w:t>
      </w:r>
    </w:p>
    <w:p w:rsidR="0070684A" w:rsidRDefault="00991792">
      <w:pPr>
        <w:pStyle w:val="Textbody"/>
        <w:widowControl/>
        <w:spacing w:line="460" w:lineRule="exact"/>
        <w:ind w:left="851" w:hanging="851"/>
        <w:rPr>
          <w:rFonts w:ascii="標楷體" w:eastAsia="標楷體" w:hAnsi="標楷體" w:cs="BiauKai"/>
          <w:color w:val="000000"/>
          <w:sz w:val="28"/>
          <w:szCs w:val="28"/>
        </w:rPr>
      </w:pPr>
      <w:r>
        <w:rPr>
          <w:rFonts w:ascii="標楷體" w:eastAsia="標楷體" w:hAnsi="標楷體" w:cs="BiauKai"/>
          <w:color w:val="000000"/>
          <w:sz w:val="28"/>
          <w:szCs w:val="28"/>
        </w:rPr>
        <w:lastRenderedPageBreak/>
        <w:t>第七條</w:t>
      </w:r>
      <w:r>
        <w:rPr>
          <w:rFonts w:ascii="標楷體" w:eastAsia="標楷體" w:hAnsi="標楷體" w:cs="BiauKai"/>
          <w:color w:val="000000"/>
          <w:sz w:val="28"/>
          <w:szCs w:val="28"/>
        </w:rPr>
        <w:t xml:space="preserve">    </w:t>
      </w:r>
      <w:r>
        <w:rPr>
          <w:rFonts w:ascii="標楷體" w:eastAsia="標楷體" w:hAnsi="標楷體" w:cs="BiauKai"/>
          <w:color w:val="000000"/>
          <w:sz w:val="28"/>
          <w:szCs w:val="28"/>
        </w:rPr>
        <w:t>辦理預防職業病健康檢查及健康追蹤檢查之醫療機構，應符合辦理勞工體格與健康檢查醫療機構認可及管理辦法所定資格。</w:t>
      </w:r>
    </w:p>
    <w:p w:rsidR="0070684A" w:rsidRDefault="00991792">
      <w:pPr>
        <w:pStyle w:val="Textbody"/>
        <w:autoSpaceDE w:val="0"/>
        <w:spacing w:line="460" w:lineRule="exact"/>
        <w:ind w:left="851" w:hanging="851"/>
      </w:pPr>
      <w:r>
        <w:rPr>
          <w:rFonts w:ascii="標楷體" w:eastAsia="標楷體" w:hAnsi="標楷體" w:cs="BiauKai"/>
          <w:color w:val="000000"/>
          <w:sz w:val="28"/>
          <w:szCs w:val="28"/>
        </w:rPr>
        <w:t>第八條</w:t>
      </w:r>
      <w:r>
        <w:rPr>
          <w:rFonts w:ascii="標楷體" w:eastAsia="標楷體" w:hAnsi="標楷體" w:cs="BiauKai"/>
          <w:color w:val="000000"/>
          <w:sz w:val="28"/>
          <w:szCs w:val="28"/>
        </w:rPr>
        <w:t xml:space="preserve">    </w:t>
      </w:r>
      <w:r>
        <w:rPr>
          <w:rFonts w:ascii="標楷體" w:eastAsia="標楷體" w:hAnsi="標楷體" w:cs="BiauKai"/>
          <w:color w:val="000000"/>
          <w:sz w:val="28"/>
          <w:szCs w:val="28"/>
        </w:rPr>
        <w:t>前條醫療機構對於辦理</w:t>
      </w:r>
      <w:r>
        <w:rPr>
          <w:rFonts w:ascii="標楷體" w:eastAsia="標楷體" w:hAnsi="標楷體"/>
          <w:color w:val="000000"/>
          <w:sz w:val="28"/>
          <w:szCs w:val="28"/>
        </w:rPr>
        <w:t>預防職業病健康檢查或健康追蹤檢查</w:t>
      </w:r>
      <w:r>
        <w:rPr>
          <w:rFonts w:ascii="標楷體" w:eastAsia="標楷體" w:hAnsi="標楷體" w:cs="BiauKai"/>
          <w:color w:val="000000"/>
          <w:sz w:val="28"/>
          <w:szCs w:val="28"/>
        </w:rPr>
        <w:t>之結果，應依中央主管機關公告之內容、方式及期限，辦理通報。</w:t>
      </w:r>
    </w:p>
    <w:p w:rsidR="0070684A" w:rsidRDefault="00991792">
      <w:pPr>
        <w:pStyle w:val="Textbody"/>
        <w:autoSpaceDE w:val="0"/>
        <w:spacing w:line="460" w:lineRule="exact"/>
        <w:ind w:left="851" w:firstLine="567"/>
        <w:rPr>
          <w:rFonts w:ascii="標楷體" w:eastAsia="標楷體" w:hAnsi="標楷體" w:cs="BiauKai"/>
          <w:color w:val="000000"/>
          <w:sz w:val="28"/>
          <w:szCs w:val="28"/>
        </w:rPr>
      </w:pPr>
      <w:r>
        <w:rPr>
          <w:rFonts w:ascii="標楷體" w:eastAsia="標楷體" w:hAnsi="標楷體" w:cs="BiauKai"/>
          <w:color w:val="000000"/>
          <w:sz w:val="28"/>
          <w:szCs w:val="28"/>
        </w:rPr>
        <w:t>前項醫療機構於實施檢查後，應依檢查類別，將檢查結果通知下列對象：</w:t>
      </w:r>
    </w:p>
    <w:p w:rsidR="0070684A" w:rsidRDefault="00991792">
      <w:pPr>
        <w:pStyle w:val="a6"/>
        <w:numPr>
          <w:ilvl w:val="0"/>
          <w:numId w:val="1"/>
        </w:numPr>
        <w:tabs>
          <w:tab w:val="left" w:pos="993"/>
        </w:tabs>
        <w:autoSpaceDE w:val="0"/>
        <w:spacing w:line="460" w:lineRule="exact"/>
        <w:ind w:left="1984" w:hanging="566"/>
      </w:pPr>
      <w:r>
        <w:rPr>
          <w:rFonts w:ascii="標楷體" w:eastAsia="標楷體" w:hAnsi="標楷體" w:cs="BiauKai"/>
          <w:color w:val="000000"/>
          <w:sz w:val="28"/>
          <w:szCs w:val="28"/>
        </w:rPr>
        <w:t>辦理</w:t>
      </w:r>
      <w:r>
        <w:rPr>
          <w:rFonts w:ascii="標楷體" w:eastAsia="標楷體" w:hAnsi="標楷體"/>
          <w:color w:val="000000"/>
          <w:sz w:val="28"/>
          <w:szCs w:val="28"/>
        </w:rPr>
        <w:t>預防職業病健康檢查</w:t>
      </w:r>
      <w:r>
        <w:rPr>
          <w:rFonts w:ascii="標楷體" w:eastAsia="標楷體" w:hAnsi="標楷體" w:cs="BiauKai"/>
          <w:color w:val="000000"/>
          <w:sz w:val="28"/>
          <w:szCs w:val="28"/>
        </w:rPr>
        <w:t>後，應通知投保單位、被保險人及保險人。</w:t>
      </w:r>
    </w:p>
    <w:p w:rsidR="0070684A" w:rsidRDefault="00991792">
      <w:pPr>
        <w:pStyle w:val="a6"/>
        <w:numPr>
          <w:ilvl w:val="0"/>
          <w:numId w:val="1"/>
        </w:numPr>
        <w:tabs>
          <w:tab w:val="left" w:pos="993"/>
        </w:tabs>
        <w:autoSpaceDE w:val="0"/>
        <w:spacing w:line="460" w:lineRule="exact"/>
        <w:ind w:left="1984" w:hanging="566"/>
      </w:pPr>
      <w:r>
        <w:rPr>
          <w:rFonts w:ascii="標楷體" w:eastAsia="標楷體" w:hAnsi="標楷體" w:cs="BiauKai"/>
          <w:color w:val="000000"/>
          <w:sz w:val="28"/>
          <w:szCs w:val="28"/>
        </w:rPr>
        <w:t>辦理預防職業病</w:t>
      </w:r>
      <w:r>
        <w:rPr>
          <w:rFonts w:ascii="標楷體" w:eastAsia="標楷體" w:hAnsi="標楷體"/>
          <w:color w:val="000000"/>
          <w:sz w:val="28"/>
          <w:szCs w:val="28"/>
        </w:rPr>
        <w:t>健康追蹤檢查</w:t>
      </w:r>
      <w:r>
        <w:rPr>
          <w:rFonts w:ascii="標楷體" w:eastAsia="標楷體" w:hAnsi="標楷體" w:cs="BiauKai"/>
          <w:color w:val="000000"/>
          <w:sz w:val="28"/>
          <w:szCs w:val="28"/>
        </w:rPr>
        <w:t>後，應通知受檢人及保險人。</w:t>
      </w:r>
    </w:p>
    <w:p w:rsidR="0070684A" w:rsidRDefault="00991792">
      <w:pPr>
        <w:pStyle w:val="Textbody"/>
        <w:autoSpaceDE w:val="0"/>
        <w:spacing w:line="460" w:lineRule="exact"/>
        <w:ind w:left="851" w:firstLine="567"/>
      </w:pPr>
      <w:r>
        <w:rPr>
          <w:rFonts w:ascii="標楷體" w:eastAsia="標楷體" w:hAnsi="標楷體" w:cs="細明體"/>
          <w:color w:val="000000"/>
          <w:sz w:val="28"/>
          <w:szCs w:val="28"/>
        </w:rPr>
        <w:t>中央主管機關於接獲第一項</w:t>
      </w:r>
      <w:r>
        <w:rPr>
          <w:rFonts w:ascii="標楷體" w:eastAsia="標楷體" w:hAnsi="標楷體"/>
          <w:color w:val="000000"/>
          <w:sz w:val="28"/>
          <w:szCs w:val="28"/>
        </w:rPr>
        <w:t>預防職業病健康追蹤檢查</w:t>
      </w:r>
      <w:r>
        <w:rPr>
          <w:rFonts w:ascii="標楷體" w:eastAsia="標楷體" w:hAnsi="標楷體" w:cs="細明體"/>
          <w:color w:val="000000"/>
          <w:sz w:val="28"/>
          <w:szCs w:val="28"/>
        </w:rPr>
        <w:t>之通報，得對檢查結果異常者，適時提供必要之服務及協助措施。</w:t>
      </w:r>
    </w:p>
    <w:p w:rsidR="0070684A" w:rsidRDefault="00991792">
      <w:pPr>
        <w:pStyle w:val="Textbody"/>
        <w:autoSpaceDE w:val="0"/>
        <w:spacing w:line="460" w:lineRule="exact"/>
        <w:ind w:left="851" w:firstLine="567"/>
      </w:pPr>
      <w:r>
        <w:rPr>
          <w:rFonts w:ascii="標楷體" w:eastAsia="標楷體" w:hAnsi="標楷體" w:cs="細明體"/>
          <w:color w:val="000000"/>
          <w:sz w:val="28"/>
          <w:szCs w:val="28"/>
        </w:rPr>
        <w:t>前項服務及協助措施，中央主管機關得委由相關專業團體或機構辦理。</w:t>
      </w:r>
    </w:p>
    <w:p w:rsidR="0070684A" w:rsidRDefault="00991792">
      <w:pPr>
        <w:pStyle w:val="Textbody"/>
        <w:autoSpaceDE w:val="0"/>
        <w:spacing w:line="460" w:lineRule="exact"/>
        <w:ind w:left="851" w:hanging="851"/>
      </w:pPr>
      <w:r>
        <w:rPr>
          <w:rFonts w:ascii="標楷體" w:eastAsia="標楷體" w:hAnsi="標楷體" w:cs="BiauKai"/>
          <w:color w:val="000000"/>
          <w:sz w:val="28"/>
          <w:szCs w:val="28"/>
        </w:rPr>
        <w:t>第九條</w:t>
      </w:r>
      <w:r>
        <w:rPr>
          <w:rFonts w:ascii="標楷體" w:eastAsia="標楷體" w:hAnsi="標楷體" w:cs="BiauKai"/>
          <w:color w:val="000000"/>
          <w:sz w:val="28"/>
          <w:szCs w:val="28"/>
        </w:rPr>
        <w:t xml:space="preserve">    </w:t>
      </w:r>
      <w:r>
        <w:rPr>
          <w:rFonts w:ascii="標楷體" w:eastAsia="標楷體" w:hAnsi="標楷體" w:cs="細明體"/>
          <w:color w:val="000000"/>
          <w:sz w:val="28"/>
          <w:szCs w:val="28"/>
        </w:rPr>
        <w:t>中央主管機關、投保單位及保險人依前條規定所取得之資料，應盡善良管理人之注意義務；相關資料之保有、處理及利用等事項，應依個人資料保護法之規定為之。</w:t>
      </w:r>
    </w:p>
    <w:p w:rsidR="0070684A" w:rsidRDefault="00991792">
      <w:pPr>
        <w:pStyle w:val="Textbody"/>
        <w:widowControl/>
        <w:spacing w:line="460" w:lineRule="exact"/>
        <w:ind w:left="851" w:hanging="851"/>
      </w:pPr>
      <w:r>
        <w:rPr>
          <w:rFonts w:ascii="標楷體" w:eastAsia="標楷體" w:hAnsi="標楷體" w:cs="BiauKai"/>
          <w:color w:val="000000"/>
          <w:sz w:val="28"/>
          <w:szCs w:val="28"/>
        </w:rPr>
        <w:t>第十條</w:t>
      </w:r>
      <w:r>
        <w:rPr>
          <w:rFonts w:ascii="標楷體" w:eastAsia="標楷體" w:hAnsi="標楷體" w:cs="BiauKai"/>
          <w:color w:val="000000"/>
          <w:sz w:val="28"/>
          <w:szCs w:val="28"/>
        </w:rPr>
        <w:t xml:space="preserve">    </w:t>
      </w:r>
      <w:r>
        <w:rPr>
          <w:rFonts w:ascii="標楷體" w:eastAsia="標楷體" w:hAnsi="標楷體" w:cs="BiauKai"/>
          <w:color w:val="000000"/>
          <w:sz w:val="28"/>
          <w:szCs w:val="28"/>
        </w:rPr>
        <w:t>第二條所定檢查之費用，參照全民健康保險醫療服務給付項目及支付標準所列有關項目規定核付，該標準未列者，由保險人報請中央主管機關核定。</w:t>
      </w:r>
    </w:p>
    <w:p w:rsidR="0070684A" w:rsidRDefault="00991792">
      <w:pPr>
        <w:pStyle w:val="Textbody"/>
        <w:widowControl/>
        <w:spacing w:line="460" w:lineRule="exact"/>
        <w:ind w:left="851" w:firstLine="567"/>
      </w:pPr>
      <w:r>
        <w:rPr>
          <w:rFonts w:ascii="標楷體" w:eastAsia="標楷體" w:hAnsi="標楷體" w:cs="BiauKai"/>
          <w:color w:val="000000"/>
          <w:sz w:val="28"/>
          <w:szCs w:val="28"/>
        </w:rPr>
        <w:t>前項檢查費用，由辦理檢查之醫療機構向保險人申請，保險人審核應核付費用，委託全民健康</w:t>
      </w:r>
      <w:r>
        <w:rPr>
          <w:rFonts w:ascii="標楷體" w:eastAsia="標楷體" w:hAnsi="標楷體" w:cs="BiauKai"/>
          <w:color w:val="000000"/>
          <w:sz w:val="28"/>
          <w:szCs w:val="28"/>
        </w:rPr>
        <w:t>保險保險人辦理支付，並由保險人償付之。</w:t>
      </w:r>
    </w:p>
    <w:p w:rsidR="0070684A" w:rsidRDefault="00991792">
      <w:pPr>
        <w:pStyle w:val="Textbody"/>
        <w:widowControl/>
        <w:spacing w:line="460" w:lineRule="exact"/>
        <w:ind w:left="851" w:firstLine="567"/>
      </w:pPr>
      <w:r>
        <w:rPr>
          <w:rFonts w:ascii="標楷體" w:eastAsia="標楷體" w:hAnsi="標楷體" w:cs="BiauKai"/>
          <w:color w:val="000000"/>
          <w:sz w:val="28"/>
          <w:szCs w:val="28"/>
        </w:rPr>
        <w:t>第一項費用之預撥，</w:t>
      </w:r>
      <w:proofErr w:type="gramStart"/>
      <w:r>
        <w:rPr>
          <w:rFonts w:ascii="標楷體" w:eastAsia="標楷體" w:hAnsi="標楷體" w:cs="BiauKai"/>
          <w:color w:val="000000"/>
          <w:sz w:val="28"/>
          <w:szCs w:val="28"/>
        </w:rPr>
        <w:t>準</w:t>
      </w:r>
      <w:proofErr w:type="gramEnd"/>
      <w:r>
        <w:rPr>
          <w:rFonts w:ascii="標楷體" w:eastAsia="標楷體" w:hAnsi="標楷體" w:cs="BiauKai"/>
          <w:color w:val="000000"/>
          <w:sz w:val="28"/>
          <w:szCs w:val="28"/>
        </w:rPr>
        <w:t>用全民健康保險保險人受託辦理職業災害保險醫療給付費用償付辦法辦理。</w:t>
      </w:r>
    </w:p>
    <w:p w:rsidR="0070684A" w:rsidRDefault="00991792">
      <w:pPr>
        <w:pStyle w:val="Default"/>
        <w:spacing w:line="460" w:lineRule="exact"/>
        <w:ind w:left="1134" w:hanging="1134"/>
        <w:rPr>
          <w:sz w:val="28"/>
          <w:szCs w:val="28"/>
        </w:rPr>
      </w:pPr>
      <w:r>
        <w:rPr>
          <w:sz w:val="28"/>
          <w:szCs w:val="28"/>
        </w:rPr>
        <w:t>第十一條</w:t>
      </w:r>
      <w:r>
        <w:rPr>
          <w:sz w:val="28"/>
          <w:szCs w:val="28"/>
        </w:rPr>
        <w:t xml:space="preserve">    </w:t>
      </w:r>
      <w:r>
        <w:rPr>
          <w:sz w:val="28"/>
          <w:szCs w:val="28"/>
        </w:rPr>
        <w:t>申請人未經保險人核定符合預防職業病健康檢查或健康追蹤檢查資格證明，而</w:t>
      </w:r>
      <w:proofErr w:type="gramStart"/>
      <w:r>
        <w:rPr>
          <w:sz w:val="28"/>
          <w:szCs w:val="28"/>
        </w:rPr>
        <w:t>逕</w:t>
      </w:r>
      <w:proofErr w:type="gramEnd"/>
      <w:r>
        <w:rPr>
          <w:sz w:val="28"/>
          <w:szCs w:val="28"/>
        </w:rPr>
        <w:t>為檢查者，保險人不予核付檢查費用。</w:t>
      </w:r>
    </w:p>
    <w:p w:rsidR="0070684A" w:rsidRDefault="00991792">
      <w:pPr>
        <w:pStyle w:val="Default"/>
        <w:shd w:val="clear" w:color="auto" w:fill="FFFFFF"/>
        <w:spacing w:line="460" w:lineRule="exact"/>
        <w:ind w:left="1134" w:hanging="1134"/>
      </w:pPr>
      <w:r>
        <w:rPr>
          <w:rFonts w:cs="BiauKai"/>
          <w:sz w:val="28"/>
          <w:szCs w:val="28"/>
        </w:rPr>
        <w:lastRenderedPageBreak/>
        <w:t>第十二條</w:t>
      </w:r>
      <w:r>
        <w:rPr>
          <w:rFonts w:cs="BiauKai"/>
          <w:sz w:val="28"/>
          <w:szCs w:val="28"/>
        </w:rPr>
        <w:t xml:space="preserve">    </w:t>
      </w:r>
      <w:r>
        <w:rPr>
          <w:rFonts w:ascii="Times New Roman" w:hAnsi="Times New Roman" w:cs="Times New Roman"/>
          <w:sz w:val="28"/>
          <w:szCs w:val="28"/>
        </w:rPr>
        <w:t>不符合本辦法所定請領條件而溢領、誤領預防職業病健康檢查或健康追蹤檢查費用者，</w:t>
      </w:r>
      <w:proofErr w:type="gramStart"/>
      <w:r>
        <w:rPr>
          <w:rFonts w:ascii="Times New Roman" w:hAnsi="Times New Roman" w:cs="Times New Roman"/>
          <w:sz w:val="28"/>
          <w:szCs w:val="28"/>
        </w:rPr>
        <w:t>其溢領</w:t>
      </w:r>
      <w:proofErr w:type="gramEnd"/>
      <w:r>
        <w:rPr>
          <w:rFonts w:ascii="Times New Roman" w:hAnsi="Times New Roman" w:cs="Times New Roman"/>
          <w:sz w:val="28"/>
          <w:szCs w:val="28"/>
        </w:rPr>
        <w:t>或誤領之費用，保險人應以書面行政處分令其限期返還。</w:t>
      </w:r>
    </w:p>
    <w:p w:rsidR="0070684A" w:rsidRDefault="00991792">
      <w:pPr>
        <w:pStyle w:val="Default"/>
        <w:shd w:val="clear" w:color="auto" w:fill="FFFFFF"/>
        <w:spacing w:line="460" w:lineRule="exact"/>
        <w:ind w:left="1134" w:firstLine="567"/>
        <w:rPr>
          <w:rFonts w:ascii="Times New Roman" w:hAnsi="Times New Roman" w:cs="Times New Roman"/>
          <w:sz w:val="28"/>
          <w:szCs w:val="28"/>
        </w:rPr>
      </w:pPr>
      <w:r>
        <w:rPr>
          <w:rFonts w:ascii="Times New Roman" w:hAnsi="Times New Roman" w:cs="Times New Roman"/>
          <w:sz w:val="28"/>
          <w:szCs w:val="28"/>
        </w:rPr>
        <w:t>辦理檢查之醫療機構，因前項情形所領取之檢查費用，保險人應委由全民健康保險人在其申報之應領費用內扣除。</w:t>
      </w:r>
    </w:p>
    <w:p w:rsidR="0070684A" w:rsidRDefault="00991792">
      <w:pPr>
        <w:pStyle w:val="Default"/>
        <w:shd w:val="clear" w:color="auto" w:fill="FFFFFF"/>
        <w:spacing w:line="460" w:lineRule="exact"/>
        <w:ind w:left="1134" w:firstLine="567"/>
      </w:pPr>
      <w:r>
        <w:rPr>
          <w:rFonts w:cs="BiauKai"/>
          <w:sz w:val="28"/>
          <w:szCs w:val="28"/>
        </w:rPr>
        <w:t>前</w:t>
      </w:r>
      <w:r>
        <w:rPr>
          <w:sz w:val="28"/>
          <w:szCs w:val="28"/>
        </w:rPr>
        <w:t>二</w:t>
      </w:r>
      <w:r>
        <w:rPr>
          <w:rFonts w:cs="BiauKai"/>
          <w:sz w:val="28"/>
          <w:szCs w:val="28"/>
        </w:rPr>
        <w:t>項情形涉及刑事責任者，移送司法機關辦理。</w:t>
      </w:r>
    </w:p>
    <w:p w:rsidR="0070684A" w:rsidRDefault="00991792">
      <w:pPr>
        <w:pStyle w:val="Textbody"/>
        <w:widowControl/>
        <w:shd w:val="clear" w:color="auto" w:fill="FFFFFF"/>
        <w:spacing w:line="460" w:lineRule="exact"/>
        <w:ind w:left="851" w:hanging="851"/>
        <w:rPr>
          <w:rFonts w:ascii="標楷體" w:eastAsia="標楷體" w:hAnsi="標楷體" w:cs="BiauKai"/>
          <w:color w:val="000000"/>
          <w:sz w:val="28"/>
          <w:szCs w:val="28"/>
        </w:rPr>
      </w:pPr>
      <w:r>
        <w:rPr>
          <w:rFonts w:ascii="標楷體" w:eastAsia="標楷體" w:hAnsi="標楷體" w:cs="BiauKai"/>
          <w:color w:val="000000"/>
          <w:sz w:val="28"/>
          <w:szCs w:val="28"/>
        </w:rPr>
        <w:t>第十三條</w:t>
      </w:r>
      <w:r>
        <w:rPr>
          <w:rFonts w:ascii="標楷體" w:eastAsia="標楷體" w:hAnsi="標楷體" w:cs="BiauKai"/>
          <w:color w:val="000000"/>
          <w:sz w:val="28"/>
          <w:szCs w:val="28"/>
        </w:rPr>
        <w:t xml:space="preserve">    </w:t>
      </w:r>
      <w:r>
        <w:rPr>
          <w:rFonts w:ascii="標楷體" w:eastAsia="標楷體" w:hAnsi="標楷體" w:cs="BiauKai"/>
          <w:color w:val="000000"/>
          <w:sz w:val="28"/>
          <w:szCs w:val="28"/>
        </w:rPr>
        <w:t>本辦法自中華民國一百十一年五月一日施行。</w:t>
      </w:r>
    </w:p>
    <w:p w:rsidR="0070684A" w:rsidRDefault="00991792">
      <w:pPr>
        <w:pStyle w:val="Textbody"/>
        <w:pageBreakBefore/>
        <w:widowControl/>
      </w:pPr>
      <w:r>
        <w:rPr>
          <w:rFonts w:ascii="標楷體" w:eastAsia="標楷體" w:hAnsi="標楷體" w:cs="新細明體"/>
          <w:color w:val="000000"/>
          <w:sz w:val="28"/>
          <w:szCs w:val="28"/>
        </w:rPr>
        <w:lastRenderedPageBreak/>
        <w:t>附表</w:t>
      </w:r>
      <w:proofErr w:type="gramStart"/>
      <w:r>
        <w:rPr>
          <w:rFonts w:ascii="標楷體" w:eastAsia="標楷體" w:hAnsi="標楷體" w:cs="新細明體"/>
          <w:color w:val="000000"/>
          <w:sz w:val="28"/>
          <w:szCs w:val="28"/>
        </w:rPr>
        <w:t>一</w:t>
      </w:r>
      <w:proofErr w:type="gramEnd"/>
      <w:r>
        <w:rPr>
          <w:rFonts w:ascii="標楷體" w:eastAsia="標楷體" w:hAnsi="標楷體" w:cs="新細明體"/>
          <w:color w:val="000000"/>
          <w:sz w:val="28"/>
          <w:szCs w:val="28"/>
        </w:rPr>
        <w:t xml:space="preserve"> </w:t>
      </w:r>
      <w:r>
        <w:rPr>
          <w:rFonts w:ascii="標楷體" w:eastAsia="標楷體" w:hAnsi="標楷體" w:cs="BiauKai"/>
          <w:color w:val="000000"/>
          <w:sz w:val="28"/>
          <w:szCs w:val="28"/>
        </w:rPr>
        <w:t>預防職業病健康檢查之作業類別</w:t>
      </w:r>
    </w:p>
    <w:tbl>
      <w:tblPr>
        <w:tblW w:w="8784" w:type="dxa"/>
        <w:tblLayout w:type="fixed"/>
        <w:tblCellMar>
          <w:left w:w="10" w:type="dxa"/>
          <w:right w:w="10" w:type="dxa"/>
        </w:tblCellMar>
        <w:tblLook w:val="0000" w:firstRow="0" w:lastRow="0" w:firstColumn="0" w:lastColumn="0" w:noHBand="0" w:noVBand="0"/>
      </w:tblPr>
      <w:tblGrid>
        <w:gridCol w:w="786"/>
        <w:gridCol w:w="7998"/>
      </w:tblGrid>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項次</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作業名稱</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proofErr w:type="gramStart"/>
            <w:r>
              <w:rPr>
                <w:rFonts w:ascii="標楷體" w:eastAsia="標楷體" w:hAnsi="標楷體"/>
                <w:color w:val="000000"/>
                <w:szCs w:val="24"/>
              </w:rPr>
              <w:t>一</w:t>
            </w:r>
            <w:proofErr w:type="gramEnd"/>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高溫作業勞工作息時間標準所稱之高溫作業。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二</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勞工噪音暴露工作日八小時日時量平均音壓級在八十五分貝以上之噪音作業。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三</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游離輻射防護法所稱之游離輻射作業。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四</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異常氣壓危害預防標準所稱之異常氣壓作業。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五</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鉛中毒預防規則所</w:t>
            </w:r>
            <w:proofErr w:type="gramStart"/>
            <w:r>
              <w:rPr>
                <w:rFonts w:ascii="標楷體" w:eastAsia="標楷體" w:hAnsi="標楷體"/>
                <w:color w:val="000000"/>
                <w:szCs w:val="24"/>
              </w:rPr>
              <w:t>稱之鉛作業</w:t>
            </w:r>
            <w:proofErr w:type="gramEnd"/>
            <w:r>
              <w:rPr>
                <w:rFonts w:ascii="標楷體" w:eastAsia="標楷體" w:hAnsi="標楷體"/>
                <w:color w:val="000000"/>
                <w:szCs w:val="24"/>
              </w:rPr>
              <w:t>。</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六</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四烷基鉛中毒預防規則所稱之四烷基鉛作業。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七</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粉塵危害預防標準所稱之粉塵作業。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八</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355" w:right="-48" w:hanging="360"/>
              <w:jc w:val="both"/>
              <w:rPr>
                <w:rFonts w:ascii="標楷體" w:eastAsia="標楷體" w:hAnsi="標楷體"/>
                <w:color w:val="000000"/>
                <w:szCs w:val="24"/>
              </w:rPr>
            </w:pPr>
            <w:r>
              <w:rPr>
                <w:rFonts w:ascii="標楷體" w:eastAsia="標楷體" w:hAnsi="標楷體"/>
                <w:color w:val="000000"/>
                <w:szCs w:val="24"/>
              </w:rPr>
              <w:t>有機溶劑中毒預防規則所稱之下列有機溶劑作業：</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proofErr w:type="gramStart"/>
            <w:r>
              <w:rPr>
                <w:rFonts w:ascii="標楷體" w:eastAsia="標楷體" w:hAnsi="標楷體"/>
                <w:color w:val="000000"/>
                <w:szCs w:val="24"/>
              </w:rPr>
              <w:t>一</w:t>
            </w:r>
            <w:proofErr w:type="gramEnd"/>
            <w:r>
              <w:rPr>
                <w:rFonts w:ascii="標楷體" w:eastAsia="標楷體" w:hAnsi="標楷體"/>
                <w:color w:val="000000"/>
                <w:szCs w:val="24"/>
              </w:rPr>
              <w:t>)1,1,2,2-</w:t>
            </w:r>
            <w:r>
              <w:rPr>
                <w:rFonts w:ascii="標楷體" w:eastAsia="標楷體" w:hAnsi="標楷體"/>
                <w:color w:val="000000"/>
                <w:szCs w:val="24"/>
              </w:rPr>
              <w:t>四氯乙烷。</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r>
              <w:rPr>
                <w:rFonts w:ascii="標楷體" w:eastAsia="標楷體" w:hAnsi="標楷體"/>
                <w:color w:val="000000"/>
                <w:szCs w:val="24"/>
              </w:rPr>
              <w:t>四氯化碳。</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三</w:t>
            </w:r>
            <w:r>
              <w:rPr>
                <w:rFonts w:ascii="標楷體" w:eastAsia="標楷體" w:hAnsi="標楷體"/>
                <w:color w:val="000000"/>
                <w:szCs w:val="24"/>
              </w:rPr>
              <w:t>)</w:t>
            </w:r>
            <w:r>
              <w:rPr>
                <w:rFonts w:ascii="標楷體" w:eastAsia="標楷體" w:hAnsi="標楷體"/>
                <w:color w:val="000000"/>
                <w:szCs w:val="24"/>
              </w:rPr>
              <w:t>二硫化碳。</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四</w:t>
            </w:r>
            <w:r>
              <w:rPr>
                <w:rFonts w:ascii="標楷體" w:eastAsia="標楷體" w:hAnsi="標楷體"/>
                <w:color w:val="000000"/>
                <w:szCs w:val="24"/>
              </w:rPr>
              <w:t>)</w:t>
            </w:r>
            <w:r>
              <w:rPr>
                <w:rFonts w:ascii="標楷體" w:eastAsia="標楷體" w:hAnsi="標楷體"/>
                <w:color w:val="000000"/>
                <w:szCs w:val="24"/>
              </w:rPr>
              <w:t>三氯乙烯。</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五</w:t>
            </w:r>
            <w:r>
              <w:rPr>
                <w:rFonts w:ascii="標楷體" w:eastAsia="標楷體" w:hAnsi="標楷體"/>
                <w:color w:val="000000"/>
                <w:szCs w:val="24"/>
              </w:rPr>
              <w:t>)</w:t>
            </w:r>
            <w:r>
              <w:rPr>
                <w:rFonts w:ascii="標楷體" w:eastAsia="標楷體" w:hAnsi="標楷體"/>
                <w:color w:val="000000"/>
                <w:szCs w:val="24"/>
              </w:rPr>
              <w:t>四氯乙烯。</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六</w:t>
            </w:r>
            <w:r>
              <w:rPr>
                <w:rFonts w:ascii="標楷體" w:eastAsia="標楷體" w:hAnsi="標楷體"/>
                <w:color w:val="000000"/>
                <w:szCs w:val="24"/>
              </w:rPr>
              <w:t>)</w:t>
            </w:r>
            <w:r>
              <w:rPr>
                <w:rFonts w:ascii="標楷體" w:eastAsia="標楷體" w:hAnsi="標楷體"/>
                <w:color w:val="000000"/>
                <w:szCs w:val="24"/>
              </w:rPr>
              <w:t>二甲基甲醯胺。</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七</w:t>
            </w:r>
            <w:r>
              <w:rPr>
                <w:rFonts w:ascii="標楷體" w:eastAsia="標楷體" w:hAnsi="標楷體"/>
                <w:color w:val="000000"/>
                <w:szCs w:val="24"/>
              </w:rPr>
              <w:t>)</w:t>
            </w:r>
            <w:r>
              <w:rPr>
                <w:rFonts w:ascii="標楷體" w:eastAsia="標楷體" w:hAnsi="標楷體"/>
                <w:color w:val="000000"/>
                <w:szCs w:val="24"/>
              </w:rPr>
              <w:t>正己</w:t>
            </w:r>
            <w:proofErr w:type="gramStart"/>
            <w:r>
              <w:rPr>
                <w:rFonts w:ascii="標楷體" w:eastAsia="標楷體" w:hAnsi="標楷體"/>
                <w:color w:val="000000"/>
                <w:szCs w:val="24"/>
              </w:rPr>
              <w:t>烷</w:t>
            </w:r>
            <w:proofErr w:type="gramEnd"/>
            <w:r>
              <w:rPr>
                <w:rFonts w:ascii="標楷體" w:eastAsia="標楷體" w:hAnsi="標楷體"/>
                <w:color w:val="000000"/>
                <w:szCs w:val="24"/>
              </w:rPr>
              <w:t>。</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九</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252"/>
              <w:jc w:val="both"/>
              <w:rPr>
                <w:rFonts w:ascii="標楷體" w:eastAsia="標楷體" w:hAnsi="標楷體"/>
                <w:color w:val="000000"/>
                <w:szCs w:val="24"/>
              </w:rPr>
            </w:pPr>
            <w:r>
              <w:rPr>
                <w:rFonts w:ascii="標楷體" w:eastAsia="標楷體" w:hAnsi="標楷體"/>
                <w:color w:val="000000"/>
                <w:szCs w:val="24"/>
              </w:rPr>
              <w:t>製造、處置或使用下列特定化學物質或其重量比（苯為體積比）超過百分之一之混合物之作業：</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proofErr w:type="gramStart"/>
            <w:r>
              <w:rPr>
                <w:rFonts w:ascii="標楷體" w:eastAsia="標楷體" w:hAnsi="標楷體"/>
                <w:color w:val="000000"/>
                <w:szCs w:val="24"/>
              </w:rPr>
              <w:t>一</w:t>
            </w:r>
            <w:proofErr w:type="gramEnd"/>
            <w:r>
              <w:rPr>
                <w:rFonts w:ascii="標楷體" w:eastAsia="標楷體" w:hAnsi="標楷體"/>
                <w:color w:val="000000"/>
                <w:szCs w:val="24"/>
              </w:rPr>
              <w:t>)</w:t>
            </w:r>
            <w:r>
              <w:rPr>
                <w:rFonts w:ascii="標楷體" w:eastAsia="標楷體" w:hAnsi="標楷體"/>
                <w:color w:val="000000"/>
                <w:szCs w:val="24"/>
              </w:rPr>
              <w:t>聯苯胺及其鹽類。</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)4-</w:t>
            </w:r>
            <w:r>
              <w:rPr>
                <w:rFonts w:ascii="標楷體" w:eastAsia="標楷體" w:hAnsi="標楷體"/>
                <w:color w:val="000000"/>
                <w:szCs w:val="24"/>
              </w:rPr>
              <w:t>胺基聯苯及其鹽類。</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三</w:t>
            </w:r>
            <w:r>
              <w:rPr>
                <w:rFonts w:ascii="標楷體" w:eastAsia="標楷體" w:hAnsi="標楷體"/>
                <w:color w:val="000000"/>
                <w:szCs w:val="24"/>
              </w:rPr>
              <w:t>)4-</w:t>
            </w:r>
            <w:r>
              <w:rPr>
                <w:rFonts w:ascii="標楷體" w:eastAsia="標楷體" w:hAnsi="標楷體"/>
                <w:color w:val="000000"/>
                <w:szCs w:val="24"/>
              </w:rPr>
              <w:t>硝基聯苯及其鹽類。</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四</w:t>
            </w:r>
            <w:r>
              <w:rPr>
                <w:rFonts w:ascii="標楷體" w:eastAsia="標楷體" w:hAnsi="標楷體"/>
                <w:color w:val="000000"/>
                <w:szCs w:val="24"/>
              </w:rPr>
              <w:t>)β-</w:t>
            </w:r>
            <w:r>
              <w:rPr>
                <w:rFonts w:ascii="標楷體" w:eastAsia="標楷體" w:hAnsi="標楷體"/>
                <w:color w:val="000000"/>
                <w:szCs w:val="24"/>
              </w:rPr>
              <w:t>萘胺及其鹽類。</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五</w:t>
            </w:r>
            <w:r>
              <w:rPr>
                <w:rFonts w:ascii="標楷體" w:eastAsia="標楷體" w:hAnsi="標楷體"/>
                <w:color w:val="000000"/>
                <w:szCs w:val="24"/>
              </w:rPr>
              <w:t>)</w:t>
            </w:r>
            <w:r>
              <w:rPr>
                <w:rFonts w:ascii="標楷體" w:eastAsia="標楷體" w:hAnsi="標楷體"/>
                <w:color w:val="000000"/>
                <w:szCs w:val="24"/>
              </w:rPr>
              <w:t>二氯聯苯胺及其鹽類。</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六</w:t>
            </w:r>
            <w:r>
              <w:rPr>
                <w:rFonts w:ascii="標楷體" w:eastAsia="標楷體" w:hAnsi="標楷體"/>
                <w:color w:val="000000"/>
                <w:szCs w:val="24"/>
              </w:rPr>
              <w:t>)α-</w:t>
            </w:r>
            <w:r>
              <w:rPr>
                <w:rFonts w:ascii="標楷體" w:eastAsia="標楷體" w:hAnsi="標楷體"/>
                <w:color w:val="000000"/>
                <w:szCs w:val="24"/>
              </w:rPr>
              <w:t>萘胺及其鹽類。</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七</w:t>
            </w:r>
            <w:r>
              <w:rPr>
                <w:rFonts w:ascii="標楷體" w:eastAsia="標楷體" w:hAnsi="標楷體"/>
                <w:color w:val="000000"/>
                <w:szCs w:val="24"/>
              </w:rPr>
              <w:t>)</w:t>
            </w:r>
            <w:proofErr w:type="gramStart"/>
            <w:r>
              <w:rPr>
                <w:rFonts w:ascii="標楷體" w:eastAsia="標楷體" w:hAnsi="標楷體"/>
                <w:color w:val="000000"/>
                <w:szCs w:val="24"/>
              </w:rPr>
              <w:t>鈹及其</w:t>
            </w:r>
            <w:proofErr w:type="gramEnd"/>
            <w:r>
              <w:rPr>
                <w:rFonts w:ascii="標楷體" w:eastAsia="標楷體" w:hAnsi="標楷體"/>
                <w:color w:val="000000"/>
                <w:szCs w:val="24"/>
              </w:rPr>
              <w:t>化合物（鈹合金時，以鈹之重量比超過百分之三者為限）。</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八</w:t>
            </w:r>
            <w:r>
              <w:rPr>
                <w:rFonts w:ascii="標楷體" w:eastAsia="標楷體" w:hAnsi="標楷體"/>
                <w:color w:val="000000"/>
                <w:szCs w:val="24"/>
              </w:rPr>
              <w:t>)</w:t>
            </w:r>
            <w:r>
              <w:rPr>
                <w:rFonts w:ascii="標楷體" w:eastAsia="標楷體" w:hAnsi="標楷體"/>
                <w:color w:val="000000"/>
                <w:szCs w:val="24"/>
              </w:rPr>
              <w:t>氯乙烯。</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九</w:t>
            </w:r>
            <w:r>
              <w:rPr>
                <w:rFonts w:ascii="標楷體" w:eastAsia="標楷體" w:hAnsi="標楷體"/>
                <w:color w:val="000000"/>
                <w:szCs w:val="24"/>
              </w:rPr>
              <w:t>)2,4-</w:t>
            </w:r>
            <w:r>
              <w:rPr>
                <w:rFonts w:ascii="標楷體" w:eastAsia="標楷體" w:hAnsi="標楷體"/>
                <w:color w:val="000000"/>
                <w:szCs w:val="24"/>
              </w:rPr>
              <w:t>二異氰酸甲苯或</w:t>
            </w:r>
            <w:r>
              <w:rPr>
                <w:rFonts w:ascii="標楷體" w:eastAsia="標楷體" w:hAnsi="標楷體"/>
                <w:color w:val="000000"/>
                <w:szCs w:val="24"/>
              </w:rPr>
              <w:t>2,6-</w:t>
            </w:r>
            <w:r>
              <w:rPr>
                <w:rFonts w:ascii="標楷體" w:eastAsia="標楷體" w:hAnsi="標楷體"/>
                <w:color w:val="000000"/>
                <w:szCs w:val="24"/>
              </w:rPr>
              <w:t>二異氰酸甲苯。</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w:t>
            </w:r>
            <w:r>
              <w:rPr>
                <w:rFonts w:ascii="標楷體" w:eastAsia="標楷體" w:hAnsi="標楷體"/>
                <w:color w:val="000000"/>
                <w:szCs w:val="24"/>
              </w:rPr>
              <w:t>)4,4-</w:t>
            </w:r>
            <w:r>
              <w:rPr>
                <w:rFonts w:ascii="標楷體" w:eastAsia="標楷體" w:hAnsi="標楷體"/>
                <w:color w:val="000000"/>
                <w:szCs w:val="24"/>
              </w:rPr>
              <w:t>二異氰酸二苯甲烷。</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十一</w:t>
            </w:r>
            <w:r>
              <w:rPr>
                <w:rFonts w:ascii="標楷體" w:eastAsia="標楷體" w:hAnsi="標楷體"/>
                <w:color w:val="000000"/>
                <w:szCs w:val="24"/>
              </w:rPr>
              <w:t>)</w:t>
            </w:r>
            <w:r>
              <w:rPr>
                <w:rFonts w:ascii="標楷體" w:eastAsia="標楷體" w:hAnsi="標楷體"/>
                <w:color w:val="000000"/>
                <w:szCs w:val="24"/>
              </w:rPr>
              <w:t>二異氰酸</w:t>
            </w:r>
            <w:proofErr w:type="gramStart"/>
            <w:r>
              <w:rPr>
                <w:rFonts w:ascii="標楷體" w:eastAsia="標楷體" w:hAnsi="標楷體"/>
                <w:color w:val="000000"/>
                <w:szCs w:val="24"/>
              </w:rPr>
              <w:t>異佛爾酮</w:t>
            </w:r>
            <w:proofErr w:type="gramEnd"/>
            <w:r>
              <w:rPr>
                <w:rFonts w:ascii="標楷體" w:eastAsia="標楷體" w:hAnsi="標楷體"/>
                <w:color w:val="000000"/>
                <w:szCs w:val="24"/>
              </w:rPr>
              <w:t>。</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十二</w:t>
            </w:r>
            <w:r>
              <w:rPr>
                <w:rFonts w:ascii="標楷體" w:eastAsia="標楷體" w:hAnsi="標楷體"/>
                <w:color w:val="000000"/>
                <w:szCs w:val="24"/>
              </w:rPr>
              <w:t>)</w:t>
            </w:r>
            <w:r>
              <w:rPr>
                <w:rFonts w:ascii="標楷體" w:eastAsia="標楷體" w:hAnsi="標楷體"/>
                <w:color w:val="000000"/>
                <w:szCs w:val="24"/>
              </w:rPr>
              <w:t>苯。</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十三</w:t>
            </w:r>
            <w:r>
              <w:rPr>
                <w:rFonts w:ascii="標楷體" w:eastAsia="標楷體" w:hAnsi="標楷體"/>
                <w:color w:val="000000"/>
                <w:szCs w:val="24"/>
              </w:rPr>
              <w:t>)</w:t>
            </w:r>
            <w:proofErr w:type="gramStart"/>
            <w:r>
              <w:rPr>
                <w:rFonts w:ascii="標楷體" w:eastAsia="標楷體" w:hAnsi="標楷體"/>
                <w:color w:val="000000"/>
                <w:szCs w:val="24"/>
              </w:rPr>
              <w:t>石綿</w:t>
            </w:r>
            <w:proofErr w:type="gramEnd"/>
            <w:r>
              <w:rPr>
                <w:rFonts w:ascii="標楷體" w:eastAsia="標楷體" w:hAnsi="標楷體"/>
                <w:color w:val="000000"/>
                <w:szCs w:val="24"/>
              </w:rPr>
              <w:t>（以處置或使用作業為限</w:t>
            </w:r>
            <w:r>
              <w:rPr>
                <w:rFonts w:ascii="標楷體" w:eastAsia="標楷體" w:hAnsi="標楷體"/>
                <w:color w:val="000000"/>
                <w:szCs w:val="24"/>
              </w:rPr>
              <w:t>)</w:t>
            </w:r>
            <w:r>
              <w:rPr>
                <w:rFonts w:ascii="標楷體" w:eastAsia="標楷體" w:hAnsi="標楷體"/>
                <w:color w:val="000000"/>
                <w:szCs w:val="24"/>
              </w:rPr>
              <w:t>。</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十四</w:t>
            </w:r>
            <w:r>
              <w:rPr>
                <w:rFonts w:ascii="標楷體" w:eastAsia="標楷體" w:hAnsi="標楷體"/>
                <w:color w:val="000000"/>
                <w:szCs w:val="24"/>
              </w:rPr>
              <w:t>)</w:t>
            </w:r>
            <w:r>
              <w:rPr>
                <w:rFonts w:ascii="標楷體" w:eastAsia="標楷體" w:hAnsi="標楷體"/>
                <w:color w:val="000000"/>
                <w:szCs w:val="24"/>
              </w:rPr>
              <w:t>鉻酸與其鹽類或重鉻酸及其鹽類。</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十五</w:t>
            </w:r>
            <w:r>
              <w:rPr>
                <w:rFonts w:ascii="標楷體" w:eastAsia="標楷體" w:hAnsi="標楷體"/>
                <w:color w:val="000000"/>
                <w:szCs w:val="24"/>
              </w:rPr>
              <w:t>)</w:t>
            </w:r>
            <w:r>
              <w:rPr>
                <w:rFonts w:ascii="標楷體" w:eastAsia="標楷體" w:hAnsi="標楷體"/>
                <w:color w:val="000000"/>
                <w:szCs w:val="24"/>
              </w:rPr>
              <w:t>砷及其化合物。</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十六</w:t>
            </w:r>
            <w:r>
              <w:rPr>
                <w:rFonts w:ascii="標楷體" w:eastAsia="標楷體" w:hAnsi="標楷體"/>
                <w:color w:val="000000"/>
                <w:szCs w:val="24"/>
              </w:rPr>
              <w:t>)</w:t>
            </w:r>
            <w:proofErr w:type="gramStart"/>
            <w:r>
              <w:rPr>
                <w:rFonts w:ascii="標楷體" w:eastAsia="標楷體" w:hAnsi="標楷體"/>
                <w:color w:val="000000"/>
                <w:szCs w:val="24"/>
              </w:rPr>
              <w:t>鎘及其</w:t>
            </w:r>
            <w:proofErr w:type="gramEnd"/>
            <w:r>
              <w:rPr>
                <w:rFonts w:ascii="標楷體" w:eastAsia="標楷體" w:hAnsi="標楷體"/>
                <w:color w:val="000000"/>
                <w:szCs w:val="24"/>
              </w:rPr>
              <w:t>化合物。</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十七</w:t>
            </w:r>
            <w:r>
              <w:rPr>
                <w:rFonts w:ascii="標楷體" w:eastAsia="標楷體" w:hAnsi="標楷體"/>
                <w:color w:val="000000"/>
                <w:szCs w:val="24"/>
              </w:rPr>
              <w:t>)</w:t>
            </w:r>
            <w:r>
              <w:rPr>
                <w:rFonts w:ascii="標楷體" w:eastAsia="標楷體" w:hAnsi="標楷體"/>
                <w:color w:val="000000"/>
                <w:szCs w:val="24"/>
              </w:rPr>
              <w:t>錳及其化合物（</w:t>
            </w:r>
            <w:proofErr w:type="gramStart"/>
            <w:r>
              <w:rPr>
                <w:rFonts w:ascii="標楷體" w:eastAsia="標楷體" w:hAnsi="標楷體"/>
                <w:color w:val="000000"/>
                <w:szCs w:val="24"/>
              </w:rPr>
              <w:t>一</w:t>
            </w:r>
            <w:proofErr w:type="gramEnd"/>
            <w:r>
              <w:rPr>
                <w:rFonts w:ascii="標楷體" w:eastAsia="標楷體" w:hAnsi="標楷體"/>
                <w:color w:val="000000"/>
                <w:szCs w:val="24"/>
              </w:rPr>
              <w:t>氧化錳及三氧化錳除外）。</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十八</w:t>
            </w:r>
            <w:r>
              <w:rPr>
                <w:rFonts w:ascii="標楷體" w:eastAsia="標楷體" w:hAnsi="標楷體"/>
                <w:color w:val="000000"/>
                <w:szCs w:val="24"/>
              </w:rPr>
              <w:t>)</w:t>
            </w:r>
            <w:proofErr w:type="gramStart"/>
            <w:r>
              <w:rPr>
                <w:rFonts w:ascii="標楷體" w:eastAsia="標楷體" w:hAnsi="標楷體"/>
                <w:color w:val="000000"/>
                <w:szCs w:val="24"/>
              </w:rPr>
              <w:t>乙基汞化合物</w:t>
            </w:r>
            <w:proofErr w:type="gramEnd"/>
            <w:r>
              <w:rPr>
                <w:rFonts w:ascii="標楷體" w:eastAsia="標楷體" w:hAnsi="標楷體"/>
                <w:color w:val="000000"/>
                <w:szCs w:val="24"/>
              </w:rPr>
              <w:t>。</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十九</w:t>
            </w:r>
            <w:r>
              <w:rPr>
                <w:rFonts w:ascii="標楷體" w:eastAsia="標楷體" w:hAnsi="標楷體"/>
                <w:color w:val="000000"/>
                <w:szCs w:val="24"/>
              </w:rPr>
              <w:t>)</w:t>
            </w:r>
            <w:proofErr w:type="gramStart"/>
            <w:r>
              <w:rPr>
                <w:rFonts w:ascii="標楷體" w:eastAsia="標楷體" w:hAnsi="標楷體"/>
                <w:color w:val="000000"/>
                <w:szCs w:val="24"/>
              </w:rPr>
              <w:t>汞及其</w:t>
            </w:r>
            <w:proofErr w:type="gramEnd"/>
            <w:r>
              <w:rPr>
                <w:rFonts w:ascii="標楷體" w:eastAsia="標楷體" w:hAnsi="標楷體"/>
                <w:color w:val="000000"/>
                <w:szCs w:val="24"/>
              </w:rPr>
              <w:t>無機化合物。</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二十</w:t>
            </w:r>
            <w:r>
              <w:rPr>
                <w:rFonts w:ascii="標楷體" w:eastAsia="標楷體" w:hAnsi="標楷體"/>
                <w:color w:val="000000"/>
                <w:szCs w:val="24"/>
              </w:rPr>
              <w:t>)</w:t>
            </w:r>
            <w:proofErr w:type="gramStart"/>
            <w:r>
              <w:rPr>
                <w:rFonts w:ascii="標楷體" w:eastAsia="標楷體" w:hAnsi="標楷體"/>
                <w:color w:val="000000"/>
                <w:szCs w:val="24"/>
              </w:rPr>
              <w:t>鎳及其</w:t>
            </w:r>
            <w:proofErr w:type="gramEnd"/>
            <w:r>
              <w:rPr>
                <w:rFonts w:ascii="標楷體" w:eastAsia="標楷體" w:hAnsi="標楷體"/>
                <w:color w:val="000000"/>
                <w:szCs w:val="24"/>
              </w:rPr>
              <w:t>化合物。</w:t>
            </w:r>
          </w:p>
          <w:p w:rsidR="0070684A" w:rsidRDefault="00991792">
            <w:pPr>
              <w:pStyle w:val="Standard"/>
              <w:ind w:left="960" w:hanging="48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二十一</w:t>
            </w:r>
            <w:r>
              <w:rPr>
                <w:rFonts w:ascii="標楷體" w:eastAsia="標楷體" w:hAnsi="標楷體"/>
                <w:color w:val="000000"/>
                <w:szCs w:val="24"/>
              </w:rPr>
              <w:t>)</w:t>
            </w:r>
            <w:r>
              <w:rPr>
                <w:rFonts w:ascii="標楷體" w:eastAsia="標楷體" w:hAnsi="標楷體"/>
                <w:color w:val="000000"/>
                <w:szCs w:val="24"/>
              </w:rPr>
              <w:t>甲醛。</w:t>
            </w:r>
          </w:p>
          <w:p w:rsidR="0070684A" w:rsidRDefault="00991792">
            <w:pPr>
              <w:pStyle w:val="Standard"/>
              <w:ind w:left="960" w:hanging="480"/>
              <w:jc w:val="both"/>
              <w:rPr>
                <w:rFonts w:ascii="標楷體" w:eastAsia="標楷體" w:hAnsi="標楷體" w:cs="Times New Roman"/>
                <w:color w:val="000000"/>
                <w:szCs w:val="24"/>
              </w:rPr>
            </w:pPr>
            <w:r>
              <w:rPr>
                <w:rFonts w:ascii="標楷體" w:eastAsia="標楷體" w:hAnsi="標楷體" w:cs="Times New Roman"/>
                <w:color w:val="000000"/>
                <w:szCs w:val="24"/>
              </w:rPr>
              <w:t>(</w:t>
            </w:r>
            <w:r>
              <w:rPr>
                <w:rFonts w:ascii="標楷體" w:eastAsia="標楷體" w:hAnsi="標楷體" w:cs="Times New Roman"/>
                <w:color w:val="000000"/>
                <w:szCs w:val="24"/>
              </w:rPr>
              <w:t>二十二</w:t>
            </w:r>
            <w:r>
              <w:rPr>
                <w:rFonts w:ascii="標楷體" w:eastAsia="標楷體" w:hAnsi="標楷體" w:cs="Times New Roman"/>
                <w:color w:val="000000"/>
                <w:szCs w:val="24"/>
              </w:rPr>
              <w:t>)1,3-</w:t>
            </w:r>
            <w:r>
              <w:rPr>
                <w:rFonts w:ascii="標楷體" w:eastAsia="標楷體" w:hAnsi="標楷體" w:cs="Times New Roman"/>
                <w:color w:val="000000"/>
                <w:szCs w:val="24"/>
              </w:rPr>
              <w:t>丁二烯。</w:t>
            </w:r>
          </w:p>
          <w:p w:rsidR="0070684A" w:rsidRDefault="00991792">
            <w:pPr>
              <w:pStyle w:val="Standard"/>
              <w:ind w:left="960" w:hanging="480"/>
              <w:jc w:val="both"/>
              <w:rPr>
                <w:rFonts w:ascii="標楷體" w:eastAsia="標楷體" w:hAnsi="標楷體" w:cs="Times New Roman"/>
                <w:color w:val="000000"/>
                <w:szCs w:val="24"/>
              </w:rPr>
            </w:pPr>
            <w:r>
              <w:rPr>
                <w:rFonts w:ascii="標楷體" w:eastAsia="標楷體" w:hAnsi="標楷體" w:cs="Times New Roman"/>
                <w:color w:val="000000"/>
                <w:szCs w:val="24"/>
              </w:rPr>
              <w:t>(</w:t>
            </w:r>
            <w:r>
              <w:rPr>
                <w:rFonts w:ascii="標楷體" w:eastAsia="標楷體" w:hAnsi="標楷體" w:cs="Times New Roman"/>
                <w:color w:val="000000"/>
                <w:szCs w:val="24"/>
              </w:rPr>
              <w:t>二十三</w:t>
            </w:r>
            <w:r>
              <w:rPr>
                <w:rFonts w:ascii="標楷體" w:eastAsia="標楷體" w:hAnsi="標楷體" w:cs="Times New Roman"/>
                <w:color w:val="000000"/>
                <w:szCs w:val="24"/>
              </w:rPr>
              <w:t>)</w:t>
            </w:r>
            <w:proofErr w:type="gramStart"/>
            <w:r>
              <w:rPr>
                <w:rFonts w:ascii="標楷體" w:eastAsia="標楷體" w:hAnsi="標楷體" w:cs="Times New Roman"/>
                <w:color w:val="000000"/>
                <w:szCs w:val="24"/>
              </w:rPr>
              <w:t>銦及其</w:t>
            </w:r>
            <w:proofErr w:type="gramEnd"/>
            <w:r>
              <w:rPr>
                <w:rFonts w:ascii="標楷體" w:eastAsia="標楷體" w:hAnsi="標楷體" w:cs="Times New Roman"/>
                <w:color w:val="000000"/>
                <w:szCs w:val="24"/>
              </w:rPr>
              <w:t>化合物。</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十</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製造、處置或使用</w:t>
            </w:r>
            <w:proofErr w:type="gramStart"/>
            <w:r>
              <w:rPr>
                <w:rFonts w:ascii="標楷體" w:eastAsia="標楷體" w:hAnsi="標楷體"/>
                <w:color w:val="000000"/>
                <w:szCs w:val="24"/>
              </w:rPr>
              <w:t>溴</w:t>
            </w:r>
            <w:proofErr w:type="gramEnd"/>
            <w:r>
              <w:rPr>
                <w:rFonts w:ascii="標楷體" w:eastAsia="標楷體" w:hAnsi="標楷體"/>
                <w:color w:val="000000"/>
                <w:szCs w:val="24"/>
              </w:rPr>
              <w:t>丙烷之重量比超過百分之五之混合物作業。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lastRenderedPageBreak/>
              <w:t>十一</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黃磷之製造、處置或使用作業。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十二</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聯吡啶或巴拉刈之製造作業。</w:t>
            </w:r>
          </w:p>
        </w:tc>
      </w:tr>
      <w:tr w:rsidR="0070684A">
        <w:tblPrEx>
          <w:tblCellMar>
            <w:top w:w="0" w:type="dxa"/>
            <w:bottom w:w="0" w:type="dxa"/>
          </w:tblCellMar>
        </w:tblPrEx>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left="-41" w:right="-65" w:hanging="5"/>
              <w:jc w:val="center"/>
              <w:rPr>
                <w:rFonts w:ascii="標楷體" w:eastAsia="標楷體" w:hAnsi="標楷體"/>
                <w:color w:val="000000"/>
                <w:szCs w:val="24"/>
              </w:rPr>
            </w:pPr>
            <w:r>
              <w:rPr>
                <w:rFonts w:ascii="標楷體" w:eastAsia="標楷體" w:hAnsi="標楷體"/>
                <w:color w:val="000000"/>
                <w:szCs w:val="24"/>
              </w:rPr>
              <w:t>十三</w:t>
            </w:r>
          </w:p>
        </w:tc>
        <w:tc>
          <w:tcPr>
            <w:tcW w:w="7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Standard"/>
              <w:ind w:right="-65" w:hanging="5"/>
              <w:jc w:val="both"/>
              <w:rPr>
                <w:rFonts w:ascii="標楷體" w:eastAsia="標楷體" w:hAnsi="標楷體"/>
                <w:color w:val="000000"/>
                <w:szCs w:val="24"/>
              </w:rPr>
            </w:pPr>
            <w:r>
              <w:rPr>
                <w:rFonts w:ascii="標楷體" w:eastAsia="標楷體" w:hAnsi="標楷體"/>
                <w:color w:val="000000"/>
                <w:szCs w:val="24"/>
              </w:rPr>
              <w:t>其他經中央主管機關指定公告之作業。</w:t>
            </w:r>
          </w:p>
        </w:tc>
      </w:tr>
    </w:tbl>
    <w:p w:rsidR="0070684A" w:rsidRDefault="00991792">
      <w:pPr>
        <w:pStyle w:val="Textbody"/>
        <w:pageBreakBefore/>
        <w:widowControl/>
      </w:pPr>
      <w:r>
        <w:rPr>
          <w:rFonts w:ascii="標楷體" w:eastAsia="標楷體" w:hAnsi="標楷體" w:cs="新細明體"/>
          <w:color w:val="000000"/>
          <w:sz w:val="28"/>
          <w:szCs w:val="28"/>
        </w:rPr>
        <w:lastRenderedPageBreak/>
        <w:t>附表二</w:t>
      </w:r>
      <w:r>
        <w:rPr>
          <w:rFonts w:ascii="標楷體" w:eastAsia="標楷體" w:hAnsi="標楷體" w:cs="新細明體"/>
          <w:color w:val="000000"/>
          <w:sz w:val="28"/>
          <w:szCs w:val="28"/>
        </w:rPr>
        <w:t xml:space="preserve"> </w:t>
      </w:r>
      <w:r>
        <w:rPr>
          <w:rFonts w:ascii="標楷體" w:eastAsia="標楷體" w:hAnsi="標楷體" w:cs="BiauKai"/>
          <w:color w:val="000000"/>
          <w:sz w:val="28"/>
          <w:szCs w:val="28"/>
        </w:rPr>
        <w:t>預防職業病健康追蹤檢查之作業類別</w:t>
      </w:r>
    </w:p>
    <w:tbl>
      <w:tblPr>
        <w:tblW w:w="8784" w:type="dxa"/>
        <w:tblLayout w:type="fixed"/>
        <w:tblCellMar>
          <w:left w:w="10" w:type="dxa"/>
          <w:right w:w="10" w:type="dxa"/>
        </w:tblCellMar>
        <w:tblLook w:val="0000" w:firstRow="0" w:lastRow="0" w:firstColumn="0" w:lastColumn="0" w:noHBand="0" w:noVBand="0"/>
      </w:tblPr>
      <w:tblGrid>
        <w:gridCol w:w="603"/>
        <w:gridCol w:w="8181"/>
      </w:tblGrid>
      <w:tr w:rsidR="0070684A">
        <w:tblPrEx>
          <w:tblCellMar>
            <w:top w:w="0" w:type="dxa"/>
            <w:bottom w:w="0" w:type="dxa"/>
          </w:tblCellMar>
        </w:tblPrEx>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left="-42" w:right="-65" w:hanging="4"/>
              <w:jc w:val="center"/>
            </w:pPr>
            <w:r>
              <w:rPr>
                <w:rFonts w:ascii="標楷體" w:eastAsia="標楷體" w:hAnsi="標楷體"/>
                <w:color w:val="000000"/>
              </w:rPr>
              <w:t>項次</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left="-1" w:right="-65" w:hanging="4"/>
              <w:jc w:val="center"/>
            </w:pPr>
            <w:r>
              <w:rPr>
                <w:rFonts w:ascii="標楷體" w:eastAsia="標楷體" w:hAnsi="標楷體"/>
                <w:color w:val="000000"/>
              </w:rPr>
              <w:t>作業名稱</w:t>
            </w:r>
          </w:p>
        </w:tc>
      </w:tr>
      <w:tr w:rsidR="0070684A">
        <w:tblPrEx>
          <w:tblCellMar>
            <w:top w:w="0" w:type="dxa"/>
            <w:bottom w:w="0" w:type="dxa"/>
          </w:tblCellMar>
        </w:tblPrEx>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jc w:val="center"/>
              <w:rPr>
                <w:rFonts w:ascii="標楷體" w:eastAsia="標楷體" w:hAnsi="標楷體" w:cs="新細明體"/>
                <w:color w:val="000000"/>
              </w:rPr>
            </w:pPr>
            <w:proofErr w:type="gramStart"/>
            <w:r>
              <w:rPr>
                <w:rFonts w:ascii="標楷體" w:eastAsia="標楷體" w:hAnsi="標楷體" w:cs="新細明體"/>
                <w:color w:val="000000"/>
              </w:rPr>
              <w:t>一</w:t>
            </w:r>
            <w:proofErr w:type="gramEnd"/>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left="-1" w:right="-65" w:hanging="4"/>
              <w:jc w:val="both"/>
            </w:pPr>
            <w:r>
              <w:rPr>
                <w:rFonts w:ascii="標楷體" w:eastAsia="標楷體" w:hAnsi="標楷體"/>
                <w:color w:val="000000"/>
              </w:rPr>
              <w:t>游離輻射防護法所稱之游離輻射作業。</w:t>
            </w:r>
          </w:p>
        </w:tc>
      </w:tr>
      <w:tr w:rsidR="0070684A">
        <w:tblPrEx>
          <w:tblCellMar>
            <w:top w:w="0" w:type="dxa"/>
            <w:bottom w:w="0" w:type="dxa"/>
          </w:tblCellMar>
        </w:tblPrEx>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jc w:val="center"/>
              <w:rPr>
                <w:rFonts w:ascii="標楷體" w:eastAsia="標楷體" w:hAnsi="標楷體" w:cs="新細明體"/>
                <w:color w:val="000000"/>
              </w:rPr>
            </w:pPr>
            <w:r>
              <w:rPr>
                <w:rFonts w:ascii="標楷體" w:eastAsia="標楷體" w:hAnsi="標楷體" w:cs="新細明體"/>
                <w:color w:val="000000"/>
              </w:rPr>
              <w:t>二</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left="-1" w:right="-65" w:hanging="4"/>
              <w:jc w:val="both"/>
            </w:pPr>
            <w:r>
              <w:rPr>
                <w:rFonts w:ascii="標楷體" w:eastAsia="標楷體" w:hAnsi="標楷體"/>
                <w:color w:val="000000"/>
              </w:rPr>
              <w:t>粉塵危害預防標準所稱之粉塵作業。</w:t>
            </w:r>
          </w:p>
        </w:tc>
      </w:tr>
      <w:tr w:rsidR="0070684A">
        <w:tblPrEx>
          <w:tblCellMar>
            <w:top w:w="0" w:type="dxa"/>
            <w:bottom w:w="0" w:type="dxa"/>
          </w:tblCellMar>
        </w:tblPrEx>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jc w:val="center"/>
              <w:rPr>
                <w:rFonts w:ascii="標楷體" w:eastAsia="標楷體" w:hAnsi="標楷體" w:cs="新細明體"/>
                <w:color w:val="000000"/>
              </w:rPr>
            </w:pPr>
            <w:r>
              <w:rPr>
                <w:rFonts w:ascii="標楷體" w:eastAsia="標楷體" w:hAnsi="標楷體" w:cs="新細明體"/>
                <w:color w:val="000000"/>
              </w:rPr>
              <w:t>三</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left="325" w:right="-48" w:hanging="330"/>
              <w:jc w:val="both"/>
            </w:pPr>
            <w:r>
              <w:rPr>
                <w:rFonts w:ascii="標楷體" w:eastAsia="標楷體" w:hAnsi="標楷體"/>
                <w:color w:val="000000"/>
              </w:rPr>
              <w:t>有機溶劑中毒預防規則所稱之下列有機溶劑作業：</w:t>
            </w:r>
          </w:p>
          <w:p w:rsidR="0070684A" w:rsidRDefault="00991792">
            <w:pPr>
              <w:pStyle w:val="Textbody"/>
              <w:ind w:left="920" w:hanging="440"/>
              <w:jc w:val="both"/>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三氯乙烯。</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四氯乙烯。</w:t>
            </w:r>
          </w:p>
        </w:tc>
      </w:tr>
      <w:tr w:rsidR="0070684A">
        <w:tblPrEx>
          <w:tblCellMar>
            <w:top w:w="0" w:type="dxa"/>
            <w:bottom w:w="0" w:type="dxa"/>
          </w:tblCellMar>
        </w:tblPrEx>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jc w:val="center"/>
              <w:rPr>
                <w:rFonts w:ascii="標楷體" w:eastAsia="標楷體" w:hAnsi="標楷體" w:cs="新細明體"/>
                <w:color w:val="000000"/>
              </w:rPr>
            </w:pPr>
            <w:r>
              <w:rPr>
                <w:rFonts w:ascii="標楷體" w:eastAsia="標楷體" w:hAnsi="標楷體" w:cs="新細明體"/>
                <w:color w:val="000000"/>
              </w:rPr>
              <w:t>四</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right="252"/>
              <w:jc w:val="both"/>
            </w:pPr>
            <w:r>
              <w:rPr>
                <w:rFonts w:ascii="標楷體" w:eastAsia="標楷體" w:hAnsi="標楷體"/>
                <w:color w:val="000000"/>
              </w:rPr>
              <w:t>製造、處置或使用下列特定化學物質或其重量比（苯為體積比）超過百分之一之混合物之作業：</w:t>
            </w:r>
          </w:p>
          <w:p w:rsidR="0070684A" w:rsidRDefault="00991792">
            <w:pPr>
              <w:pStyle w:val="Textbody"/>
              <w:ind w:left="920" w:hanging="440"/>
              <w:jc w:val="both"/>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聯苯胺及其鹽類。</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)4-</w:t>
            </w:r>
            <w:r>
              <w:rPr>
                <w:rFonts w:ascii="標楷體" w:eastAsia="標楷體" w:hAnsi="標楷體"/>
                <w:color w:val="000000"/>
              </w:rPr>
              <w:t>胺基聯苯及其鹽類。</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)4-</w:t>
            </w:r>
            <w:r>
              <w:rPr>
                <w:rFonts w:ascii="標楷體" w:eastAsia="標楷體" w:hAnsi="標楷體"/>
                <w:color w:val="000000"/>
              </w:rPr>
              <w:t>硝基聯苯及其鹽類。</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)β-</w:t>
            </w:r>
            <w:r>
              <w:rPr>
                <w:rFonts w:ascii="標楷體" w:eastAsia="標楷體" w:hAnsi="標楷體"/>
                <w:color w:val="000000"/>
              </w:rPr>
              <w:t>萘胺及其鹽類。</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二氯聯苯胺及其鹽類。</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六</w:t>
            </w:r>
            <w:r>
              <w:rPr>
                <w:rFonts w:ascii="標楷體" w:eastAsia="標楷體" w:hAnsi="標楷體"/>
                <w:color w:val="000000"/>
              </w:rPr>
              <w:t>)α-</w:t>
            </w:r>
            <w:r>
              <w:rPr>
                <w:rFonts w:ascii="標楷體" w:eastAsia="標楷體" w:hAnsi="標楷體"/>
                <w:color w:val="000000"/>
              </w:rPr>
              <w:t>萘胺及其鹽類。</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七</w:t>
            </w:r>
            <w:r>
              <w:rPr>
                <w:rFonts w:ascii="標楷體" w:eastAsia="標楷體" w:hAnsi="標楷體"/>
                <w:color w:val="000000"/>
              </w:rPr>
              <w:t>)</w:t>
            </w:r>
            <w:proofErr w:type="gramStart"/>
            <w:r>
              <w:rPr>
                <w:rFonts w:ascii="標楷體" w:eastAsia="標楷體" w:hAnsi="標楷體"/>
                <w:color w:val="000000"/>
              </w:rPr>
              <w:t>鈹及其</w:t>
            </w:r>
            <w:proofErr w:type="gramEnd"/>
            <w:r>
              <w:rPr>
                <w:rFonts w:ascii="標楷體" w:eastAsia="標楷體" w:hAnsi="標楷體"/>
                <w:color w:val="000000"/>
              </w:rPr>
              <w:t>化合物（鈹合金時，以鈹之重量比超過百分之三者為限）。</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八</w:t>
            </w:r>
            <w:r>
              <w:rPr>
                <w:rFonts w:ascii="標楷體" w:eastAsia="標楷體" w:hAnsi="標楷體"/>
                <w:color w:val="000000"/>
              </w:rPr>
              <w:t>)</w:t>
            </w:r>
            <w:r>
              <w:rPr>
                <w:rFonts w:ascii="標楷體" w:eastAsia="標楷體" w:hAnsi="標楷體"/>
                <w:color w:val="000000"/>
              </w:rPr>
              <w:t>氯乙烯。</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九</w:t>
            </w:r>
            <w:r>
              <w:rPr>
                <w:rFonts w:ascii="標楷體" w:eastAsia="標楷體" w:hAnsi="標楷體"/>
                <w:color w:val="000000"/>
              </w:rPr>
              <w:t>)</w:t>
            </w:r>
            <w:r>
              <w:rPr>
                <w:rFonts w:ascii="標楷體" w:eastAsia="標楷體" w:hAnsi="標楷體"/>
                <w:color w:val="000000"/>
              </w:rPr>
              <w:t>苯。</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十</w:t>
            </w:r>
            <w:r>
              <w:rPr>
                <w:rFonts w:ascii="標楷體" w:eastAsia="標楷體" w:hAnsi="標楷體"/>
                <w:color w:val="000000"/>
              </w:rPr>
              <w:t>)</w:t>
            </w:r>
            <w:proofErr w:type="gramStart"/>
            <w:r>
              <w:rPr>
                <w:rFonts w:ascii="標楷體" w:eastAsia="標楷體" w:hAnsi="標楷體"/>
                <w:color w:val="000000"/>
              </w:rPr>
              <w:t>石綿</w:t>
            </w:r>
            <w:proofErr w:type="gramEnd"/>
            <w:r>
              <w:rPr>
                <w:rFonts w:ascii="標楷體" w:eastAsia="標楷體" w:hAnsi="標楷體"/>
                <w:color w:val="000000"/>
              </w:rPr>
              <w:t>（以處置或使用作業為限</w:t>
            </w:r>
            <w:r>
              <w:rPr>
                <w:rFonts w:ascii="標楷體" w:eastAsia="標楷體" w:hAnsi="標楷體"/>
                <w:color w:val="000000"/>
              </w:rPr>
              <w:t>)</w:t>
            </w:r>
            <w:r>
              <w:rPr>
                <w:rFonts w:ascii="標楷體" w:eastAsia="標楷體" w:hAnsi="標楷體"/>
                <w:color w:val="000000"/>
              </w:rPr>
              <w:t>。</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十一</w:t>
            </w:r>
            <w:r>
              <w:rPr>
                <w:rFonts w:ascii="標楷體" w:eastAsia="標楷體" w:hAnsi="標楷體"/>
                <w:color w:val="000000"/>
              </w:rPr>
              <w:t>)</w:t>
            </w:r>
            <w:r>
              <w:rPr>
                <w:rFonts w:ascii="標楷體" w:eastAsia="標楷體" w:hAnsi="標楷體"/>
                <w:color w:val="000000"/>
              </w:rPr>
              <w:t>鉻酸與其鹽類或重鉻酸及其鹽類。</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十二</w:t>
            </w:r>
            <w:r>
              <w:rPr>
                <w:rFonts w:ascii="標楷體" w:eastAsia="標楷體" w:hAnsi="標楷體"/>
                <w:color w:val="000000"/>
              </w:rPr>
              <w:t>)</w:t>
            </w:r>
            <w:r>
              <w:rPr>
                <w:rFonts w:ascii="標楷體" w:eastAsia="標楷體" w:hAnsi="標楷體"/>
                <w:color w:val="000000"/>
              </w:rPr>
              <w:t>砷及其化合物。</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十三</w:t>
            </w:r>
            <w:r>
              <w:rPr>
                <w:rFonts w:ascii="標楷體" w:eastAsia="標楷體" w:hAnsi="標楷體"/>
                <w:color w:val="000000"/>
              </w:rPr>
              <w:t>)</w:t>
            </w:r>
            <w:proofErr w:type="gramStart"/>
            <w:r>
              <w:rPr>
                <w:rFonts w:ascii="標楷體" w:eastAsia="標楷體" w:hAnsi="標楷體"/>
                <w:color w:val="000000"/>
              </w:rPr>
              <w:t>鎘及其</w:t>
            </w:r>
            <w:proofErr w:type="gramEnd"/>
            <w:r>
              <w:rPr>
                <w:rFonts w:ascii="標楷體" w:eastAsia="標楷體" w:hAnsi="標楷體"/>
                <w:color w:val="000000"/>
              </w:rPr>
              <w:t>化合物。</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十四</w:t>
            </w:r>
            <w:r>
              <w:rPr>
                <w:rFonts w:ascii="標楷體" w:eastAsia="標楷體" w:hAnsi="標楷體"/>
                <w:color w:val="000000"/>
              </w:rPr>
              <w:t>)</w:t>
            </w:r>
            <w:proofErr w:type="gramStart"/>
            <w:r>
              <w:rPr>
                <w:rFonts w:ascii="標楷體" w:eastAsia="標楷體" w:hAnsi="標楷體"/>
                <w:color w:val="000000"/>
              </w:rPr>
              <w:t>鎳及其</w:t>
            </w:r>
            <w:proofErr w:type="gramEnd"/>
            <w:r>
              <w:rPr>
                <w:rFonts w:ascii="標楷體" w:eastAsia="標楷體" w:hAnsi="標楷體"/>
                <w:color w:val="000000"/>
              </w:rPr>
              <w:t>化合物。</w:t>
            </w:r>
          </w:p>
          <w:p w:rsidR="0070684A" w:rsidRDefault="00991792">
            <w:pPr>
              <w:pStyle w:val="Textbody"/>
              <w:ind w:left="920" w:hanging="44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十五</w:t>
            </w:r>
            <w:r>
              <w:rPr>
                <w:rFonts w:ascii="標楷體" w:eastAsia="標楷體" w:hAnsi="標楷體"/>
                <w:color w:val="000000"/>
              </w:rPr>
              <w:t>)</w:t>
            </w:r>
            <w:r>
              <w:rPr>
                <w:rFonts w:ascii="標楷體" w:eastAsia="標楷體" w:hAnsi="標楷體"/>
                <w:color w:val="000000"/>
              </w:rPr>
              <w:t>甲醛。</w:t>
            </w:r>
          </w:p>
          <w:p w:rsidR="0070684A" w:rsidRDefault="00991792">
            <w:pPr>
              <w:pStyle w:val="Textbody"/>
              <w:ind w:left="920" w:hanging="44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十六</w:t>
            </w:r>
            <w:r>
              <w:rPr>
                <w:rFonts w:ascii="標楷體" w:eastAsia="標楷體" w:hAnsi="標楷體"/>
                <w:color w:val="000000"/>
              </w:rPr>
              <w:t>)1,3-</w:t>
            </w:r>
            <w:r>
              <w:rPr>
                <w:rFonts w:ascii="標楷體" w:eastAsia="標楷體" w:hAnsi="標楷體"/>
                <w:color w:val="000000"/>
              </w:rPr>
              <w:t>丁二烯。</w:t>
            </w:r>
          </w:p>
          <w:p w:rsidR="0070684A" w:rsidRDefault="00991792">
            <w:pPr>
              <w:pStyle w:val="Textbody"/>
              <w:ind w:left="920" w:hanging="440"/>
              <w:jc w:val="both"/>
            </w:pPr>
            <w:r>
              <w:rPr>
                <w:rFonts w:ascii="標楷體" w:eastAsia="標楷體" w:hAnsi="標楷體"/>
                <w:color w:val="000000"/>
              </w:rPr>
              <w:t>(</w:t>
            </w:r>
            <w:r>
              <w:rPr>
                <w:rFonts w:ascii="標楷體" w:eastAsia="標楷體" w:hAnsi="標楷體"/>
                <w:color w:val="000000"/>
              </w:rPr>
              <w:t>十七</w:t>
            </w:r>
            <w:r>
              <w:rPr>
                <w:rFonts w:ascii="標楷體" w:eastAsia="標楷體" w:hAnsi="標楷體"/>
                <w:color w:val="000000"/>
              </w:rPr>
              <w:t>)</w:t>
            </w:r>
            <w:proofErr w:type="gramStart"/>
            <w:r>
              <w:rPr>
                <w:rFonts w:ascii="標楷體" w:eastAsia="標楷體" w:hAnsi="標楷體"/>
                <w:color w:val="000000"/>
              </w:rPr>
              <w:t>銦及其</w:t>
            </w:r>
            <w:proofErr w:type="gramEnd"/>
            <w:r>
              <w:rPr>
                <w:rFonts w:ascii="標楷體" w:eastAsia="標楷體" w:hAnsi="標楷體"/>
                <w:color w:val="000000"/>
              </w:rPr>
              <w:t>化合物。</w:t>
            </w:r>
          </w:p>
        </w:tc>
      </w:tr>
      <w:tr w:rsidR="0070684A">
        <w:tblPrEx>
          <w:tblCellMar>
            <w:top w:w="0" w:type="dxa"/>
            <w:bottom w:w="0" w:type="dxa"/>
          </w:tblCellMar>
        </w:tblPrEx>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jc w:val="center"/>
              <w:rPr>
                <w:rFonts w:ascii="標楷體" w:eastAsia="標楷體" w:hAnsi="標楷體" w:cs="新細明體"/>
                <w:color w:val="000000"/>
              </w:rPr>
            </w:pPr>
            <w:r>
              <w:rPr>
                <w:rFonts w:ascii="標楷體" w:eastAsia="標楷體" w:hAnsi="標楷體" w:cs="新細明體"/>
                <w:color w:val="000000"/>
              </w:rPr>
              <w:t>五</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left="-1" w:right="-65" w:hanging="4"/>
              <w:jc w:val="both"/>
            </w:pPr>
            <w:r>
              <w:rPr>
                <w:rFonts w:ascii="標楷體" w:eastAsia="標楷體" w:hAnsi="標楷體"/>
                <w:color w:val="000000"/>
              </w:rPr>
              <w:t>聯吡啶或巴拉刈之製造作業。</w:t>
            </w:r>
          </w:p>
        </w:tc>
      </w:tr>
      <w:tr w:rsidR="0070684A">
        <w:tblPrEx>
          <w:tblCellMar>
            <w:top w:w="0" w:type="dxa"/>
            <w:bottom w:w="0" w:type="dxa"/>
          </w:tblCellMar>
        </w:tblPrEx>
        <w:tc>
          <w:tcPr>
            <w:tcW w:w="6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jc w:val="center"/>
              <w:rPr>
                <w:rFonts w:ascii="標楷體" w:eastAsia="標楷體" w:hAnsi="標楷體" w:cs="新細明體"/>
                <w:color w:val="000000"/>
              </w:rPr>
            </w:pPr>
            <w:r>
              <w:rPr>
                <w:rFonts w:ascii="標楷體" w:eastAsia="標楷體" w:hAnsi="標楷體" w:cs="新細明體"/>
                <w:color w:val="000000"/>
              </w:rPr>
              <w:t>六</w:t>
            </w:r>
          </w:p>
        </w:tc>
        <w:tc>
          <w:tcPr>
            <w:tcW w:w="8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684A" w:rsidRDefault="00991792">
            <w:pPr>
              <w:pStyle w:val="Textbody"/>
              <w:ind w:left="-1" w:right="-65" w:hanging="4"/>
              <w:jc w:val="both"/>
            </w:pPr>
            <w:r>
              <w:rPr>
                <w:rFonts w:ascii="標楷體" w:eastAsia="標楷體" w:hAnsi="標楷體"/>
                <w:color w:val="000000"/>
              </w:rPr>
              <w:t>其他經中央主管機關指定公告之作業。</w:t>
            </w:r>
          </w:p>
        </w:tc>
      </w:tr>
    </w:tbl>
    <w:p w:rsidR="0070684A" w:rsidRDefault="0070684A">
      <w:pPr>
        <w:pStyle w:val="Textbody"/>
        <w:rPr>
          <w:rFonts w:ascii="標楷體" w:eastAsia="標楷體" w:hAnsi="標楷體" w:cs="BiauKai"/>
          <w:color w:val="000000"/>
        </w:rPr>
      </w:pPr>
    </w:p>
    <w:p w:rsidR="0070684A" w:rsidRDefault="0070684A">
      <w:pPr>
        <w:pStyle w:val="Textbody"/>
        <w:rPr>
          <w:rFonts w:ascii="標楷體" w:eastAsia="標楷體" w:hAnsi="標楷體" w:cs="新細明體"/>
          <w:color w:val="000000"/>
        </w:rPr>
      </w:pPr>
    </w:p>
    <w:sectPr w:rsidR="0070684A">
      <w:footerReference w:type="default" r:id="rId7"/>
      <w:pgSz w:w="11907" w:h="16839"/>
      <w:pgMar w:top="851" w:right="1800" w:bottom="1440" w:left="1800"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792" w:rsidRDefault="00991792">
      <w:r>
        <w:separator/>
      </w:r>
    </w:p>
  </w:endnote>
  <w:endnote w:type="continuationSeparator" w:id="0">
    <w:p w:rsidR="00991792" w:rsidRDefault="0099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iauKa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55E5" w:rsidRDefault="00991792">
    <w:pPr>
      <w:pStyle w:val="Textbody"/>
      <w:tabs>
        <w:tab w:val="center" w:pos="4153"/>
        <w:tab w:val="right" w:pos="8306"/>
      </w:tabs>
      <w:jc w:val="center"/>
    </w:pPr>
  </w:p>
  <w:p w:rsidR="007755E5" w:rsidRDefault="00991792">
    <w:pPr>
      <w:pStyle w:val="Textbody"/>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792" w:rsidRDefault="00991792">
      <w:r>
        <w:rPr>
          <w:color w:val="000000"/>
        </w:rPr>
        <w:separator/>
      </w:r>
    </w:p>
  </w:footnote>
  <w:footnote w:type="continuationSeparator" w:id="0">
    <w:p w:rsidR="00991792" w:rsidRDefault="00991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E4B2C"/>
    <w:multiLevelType w:val="multilevel"/>
    <w:tmpl w:val="214E003A"/>
    <w:lvl w:ilvl="0">
      <w:start w:val="1"/>
      <w:numFmt w:val="japaneseCounting"/>
      <w:lvlText w:val="%1、"/>
      <w:lvlJc w:val="left"/>
      <w:pPr>
        <w:ind w:left="929" w:hanging="480"/>
      </w:pPr>
      <w:rPr>
        <w:rFonts w:eastAsia="標楷體"/>
        <w:sz w:val="28"/>
        <w:szCs w:val="28"/>
      </w:r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0684A"/>
    <w:rsid w:val="002D5DAE"/>
    <w:rsid w:val="0070684A"/>
    <w:rsid w:val="009917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C732EA-B8D7-48D7-8014-27F4D04F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eastAsia="Calibri"/>
      <w:b/>
      <w:sz w:val="52"/>
      <w:szCs w:val="52"/>
    </w:rPr>
  </w:style>
  <w:style w:type="paragraph" w:styleId="2">
    <w:name w:val="heading 2"/>
    <w:basedOn w:val="Textbody"/>
    <w:next w:val="Textbody"/>
    <w:uiPriority w:val="9"/>
    <w:semiHidden/>
    <w:unhideWhenUsed/>
    <w:qFormat/>
    <w:pPr>
      <w:keepNext/>
      <w:spacing w:line="720" w:lineRule="auto"/>
      <w:outlineLvl w:val="1"/>
    </w:pPr>
    <w:rPr>
      <w:rFonts w:ascii="Arial" w:eastAsia="Arial" w:hAnsi="Arial" w:cs="Arial"/>
      <w:b/>
      <w:sz w:val="48"/>
      <w:szCs w:val="48"/>
    </w:rPr>
  </w:style>
  <w:style w:type="paragraph" w:styleId="3">
    <w:name w:val="heading 3"/>
    <w:basedOn w:val="Textbody"/>
    <w:next w:val="Textbody"/>
    <w:uiPriority w:val="9"/>
    <w:semiHidden/>
    <w:unhideWhenUsed/>
    <w:qFormat/>
    <w:pPr>
      <w:keepNext/>
      <w:keepLines/>
      <w:spacing w:before="280" w:after="80"/>
      <w:outlineLvl w:val="2"/>
    </w:pPr>
    <w:rPr>
      <w:b/>
      <w:sz w:val="28"/>
      <w:szCs w:val="28"/>
    </w:rPr>
  </w:style>
  <w:style w:type="paragraph" w:styleId="4">
    <w:name w:val="heading 4"/>
    <w:basedOn w:val="Textbody"/>
    <w:next w:val="Textbody"/>
    <w:uiPriority w:val="9"/>
    <w:semiHidden/>
    <w:unhideWhenUsed/>
    <w:qFormat/>
    <w:pPr>
      <w:keepNext/>
      <w:spacing w:line="720" w:lineRule="auto"/>
      <w:outlineLvl w:val="3"/>
    </w:pPr>
    <w:rPr>
      <w:rFonts w:eastAsia="Calibri"/>
      <w:sz w:val="36"/>
      <w:szCs w:val="36"/>
    </w:rPr>
  </w:style>
  <w:style w:type="paragraph" w:styleId="5">
    <w:name w:val="heading 5"/>
    <w:basedOn w:val="Textbody"/>
    <w:next w:val="Textbody"/>
    <w:uiPriority w:val="9"/>
    <w:semiHidden/>
    <w:unhideWhenUsed/>
    <w:qFormat/>
    <w:pPr>
      <w:keepNext/>
      <w:keepLines/>
      <w:spacing w:before="220" w:after="40"/>
      <w:outlineLvl w:val="4"/>
    </w:pPr>
    <w:rPr>
      <w:b/>
      <w:sz w:val="22"/>
      <w:szCs w:val="22"/>
    </w:rPr>
  </w:style>
  <w:style w:type="paragraph" w:styleId="6">
    <w:name w:val="heading 6"/>
    <w:basedOn w:val="Textbody"/>
    <w:next w:val="Textbody"/>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cs="Tahoma"/>
      <w:kern w:val="3"/>
      <w:sz w:val="24"/>
      <w:szCs w:val="22"/>
    </w:rPr>
  </w:style>
  <w:style w:type="paragraph" w:customStyle="1" w:styleId="Heading">
    <w:name w:val="Heading"/>
    <w:basedOn w:val="Textbody"/>
    <w:next w:val="Textbody"/>
    <w:pPr>
      <w:keepNext/>
      <w:keepLines/>
      <w:spacing w:before="480" w:after="120"/>
    </w:pPr>
    <w:rPr>
      <w:b/>
      <w:sz w:val="72"/>
      <w:szCs w:val="72"/>
    </w:rPr>
  </w:style>
  <w:style w:type="paragraph" w:customStyle="1" w:styleId="Textbody">
    <w:name w:val="Text body"/>
    <w:pPr>
      <w:widowControl w:val="0"/>
      <w:suppressAutoHyphens/>
    </w:pPr>
    <w:rPr>
      <w:sz w:val="24"/>
      <w:szCs w:val="24"/>
    </w:rPr>
  </w:style>
  <w:style w:type="paragraph" w:styleId="a3">
    <w:name w:val="header"/>
    <w:basedOn w:val="Textbody"/>
    <w:pPr>
      <w:tabs>
        <w:tab w:val="center" w:pos="4153"/>
        <w:tab w:val="right" w:pos="8306"/>
      </w:tabs>
      <w:snapToGrid w:val="0"/>
    </w:pPr>
    <w:rPr>
      <w:sz w:val="20"/>
      <w:szCs w:val="20"/>
    </w:rPr>
  </w:style>
  <w:style w:type="paragraph" w:styleId="a4">
    <w:name w:val="Subtitle"/>
    <w:basedOn w:val="Textbody"/>
    <w:next w:val="Textbody"/>
    <w:uiPriority w:val="11"/>
    <w:qFormat/>
    <w:pPr>
      <w:keepNext/>
      <w:keepLines/>
      <w:spacing w:before="360" w:after="80"/>
    </w:pPr>
    <w:rPr>
      <w:rFonts w:ascii="Georgia" w:eastAsia="Georgia" w:hAnsi="Georgia" w:cs="Georgia"/>
      <w:i/>
      <w:color w:val="666666"/>
      <w:sz w:val="48"/>
      <w:szCs w:val="48"/>
    </w:rPr>
  </w:style>
  <w:style w:type="paragraph" w:styleId="a5">
    <w:name w:val="footer"/>
    <w:basedOn w:val="Textbody"/>
    <w:pPr>
      <w:tabs>
        <w:tab w:val="center" w:pos="4153"/>
        <w:tab w:val="right" w:pos="8306"/>
      </w:tabs>
      <w:snapToGrid w:val="0"/>
    </w:pPr>
    <w:rPr>
      <w:sz w:val="20"/>
      <w:szCs w:val="20"/>
    </w:rPr>
  </w:style>
  <w:style w:type="paragraph" w:customStyle="1" w:styleId="10">
    <w:name w:val="清單段落1"/>
    <w:basedOn w:val="Textbody"/>
    <w:pPr>
      <w:ind w:left="480"/>
    </w:pPr>
  </w:style>
  <w:style w:type="paragraph" w:customStyle="1" w:styleId="11">
    <w:name w:val="內文1"/>
    <w:pPr>
      <w:widowControl w:val="0"/>
      <w:suppressAutoHyphens/>
    </w:pPr>
    <w:rPr>
      <w:sz w:val="24"/>
      <w:szCs w:val="24"/>
    </w:rPr>
  </w:style>
  <w:style w:type="paragraph" w:customStyle="1" w:styleId="12">
    <w:name w:val="內文12"/>
    <w:pPr>
      <w:widowControl w:val="0"/>
      <w:suppressAutoHyphens/>
    </w:pPr>
    <w:rPr>
      <w:sz w:val="24"/>
      <w:szCs w:val="24"/>
    </w:rPr>
  </w:style>
  <w:style w:type="paragraph" w:styleId="a6">
    <w:name w:val="List Paragraph"/>
    <w:basedOn w:val="Textbody"/>
    <w:pPr>
      <w:ind w:left="480"/>
    </w:pPr>
    <w:rPr>
      <w:rFonts w:cs="Times New Roman"/>
    </w:rPr>
  </w:style>
  <w:style w:type="paragraph" w:customStyle="1" w:styleId="20">
    <w:name w:val="內文2"/>
    <w:pPr>
      <w:suppressAutoHyphens/>
    </w:pPr>
    <w:rPr>
      <w:sz w:val="24"/>
      <w:szCs w:val="24"/>
    </w:rPr>
  </w:style>
  <w:style w:type="paragraph" w:styleId="a7">
    <w:name w:val="Plain Text"/>
    <w:basedOn w:val="Textbody"/>
    <w:rPr>
      <w:rFonts w:cs="Courier New"/>
      <w:kern w:val="3"/>
    </w:rPr>
  </w:style>
  <w:style w:type="paragraph" w:customStyle="1" w:styleId="110">
    <w:name w:val="內文11"/>
    <w:pPr>
      <w:widowControl w:val="0"/>
      <w:suppressAutoHyphens/>
    </w:pPr>
    <w:rPr>
      <w:sz w:val="24"/>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Web">
    <w:name w:val="Normal (Web)"/>
    <w:basedOn w:val="Textbody"/>
    <w:pPr>
      <w:widowControl/>
      <w:spacing w:before="100" w:after="100"/>
    </w:pPr>
    <w:rPr>
      <w:rFonts w:ascii="新細明體" w:hAnsi="新細明體" w:cs="新細明體"/>
    </w:rPr>
  </w:style>
  <w:style w:type="paragraph" w:styleId="a8">
    <w:name w:val="Balloon Text"/>
    <w:basedOn w:val="Textbody"/>
    <w:rPr>
      <w:rFonts w:cs="Times New Roman"/>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customStyle="1" w:styleId="TableContents">
    <w:name w:val="Table Contents"/>
    <w:basedOn w:val="Standard"/>
    <w:pPr>
      <w:suppressLineNumbers/>
    </w:pPr>
  </w:style>
  <w:style w:type="character" w:customStyle="1" w:styleId="a9">
    <w:name w:val="頁首 字元"/>
    <w:rPr>
      <w:sz w:val="20"/>
      <w:szCs w:val="20"/>
    </w:rPr>
  </w:style>
  <w:style w:type="character" w:customStyle="1" w:styleId="aa">
    <w:name w:val="頁尾 字元"/>
    <w:rPr>
      <w:sz w:val="20"/>
      <w:szCs w:val="20"/>
    </w:rPr>
  </w:style>
  <w:style w:type="character" w:customStyle="1" w:styleId="ab">
    <w:name w:val="清單段落 字元"/>
  </w:style>
  <w:style w:type="character" w:styleId="ac">
    <w:name w:val="annotation reference"/>
    <w:rPr>
      <w:sz w:val="18"/>
      <w:szCs w:val="18"/>
    </w:rPr>
  </w:style>
  <w:style w:type="character" w:customStyle="1" w:styleId="ad">
    <w:name w:val="標題 字元"/>
    <w:rPr>
      <w:b/>
      <w:sz w:val="72"/>
      <w:szCs w:val="72"/>
    </w:rPr>
  </w:style>
  <w:style w:type="character" w:customStyle="1" w:styleId="ae">
    <w:name w:val="純文字 字元"/>
    <w:rPr>
      <w:rFonts w:eastAsia="新細明體" w:cs="Courier New"/>
      <w:kern w:val="3"/>
      <w:sz w:val="24"/>
      <w:szCs w:val="24"/>
    </w:rPr>
  </w:style>
  <w:style w:type="character" w:styleId="af">
    <w:name w:val="Emphasis"/>
    <w:rPr>
      <w:i/>
      <w:iCs/>
    </w:rPr>
  </w:style>
  <w:style w:type="character" w:styleId="af0">
    <w:name w:val="Hyperlink"/>
    <w:rPr>
      <w:color w:val="0000FF"/>
      <w:u w:val="single"/>
    </w:rPr>
  </w:style>
  <w:style w:type="character" w:customStyle="1" w:styleId="af1">
    <w:name w:val="註解方塊文字 字元"/>
    <w:rPr>
      <w:rFonts w:ascii="Calibri" w:eastAsia="新細明體" w:hAnsi="Calibri" w:cs="Times New Roman"/>
      <w:sz w:val="18"/>
      <w:szCs w:val="18"/>
    </w:rPr>
  </w:style>
  <w:style w:type="character" w:customStyle="1" w:styleId="HTML0">
    <w:name w:val="HTML 預設格式 字元"/>
    <w:rPr>
      <w:rFonts w:ascii="細明體" w:eastAsia="細明體" w:hAnsi="細明體" w:cs="細明體"/>
      <w:sz w:val="24"/>
      <w:szCs w:val="24"/>
    </w:rPr>
  </w:style>
  <w:style w:type="character" w:customStyle="1" w:styleId="NumberingSymbols">
    <w:name w:val="Numbering Symbols"/>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王之瑤</dc:creator>
  <cp:lastModifiedBy>user</cp:lastModifiedBy>
  <cp:revision>2</cp:revision>
  <cp:lastPrinted>2022-03-09T18:42:00Z</cp:lastPrinted>
  <dcterms:created xsi:type="dcterms:W3CDTF">2022-03-29T05:59:00Z</dcterms:created>
  <dcterms:modified xsi:type="dcterms:W3CDTF">2022-03-29T05:59:00Z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